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21C" w:rsidRDefault="00B7521C">
      <w:pPr>
        <w:ind w:left="720"/>
        <w:jc w:val="center"/>
        <w:rPr>
          <w:rFonts w:ascii="Arial" w:hAnsi="Arial" w:cs="Arial"/>
          <w:noProof/>
          <w:sz w:val="28"/>
          <w:szCs w:val="28"/>
          <w:lang w:val="en-GB" w:eastAsia="en-GB"/>
        </w:rPr>
      </w:pPr>
    </w:p>
    <w:p w:rsidR="00B7521C" w:rsidRDefault="00B7521C">
      <w:pPr>
        <w:spacing w:after="0" w:line="240" w:lineRule="auto"/>
        <w:ind w:left="720"/>
        <w:jc w:val="center"/>
        <w:rPr>
          <w:rFonts w:ascii="Arial" w:hAnsi="Arial" w:cs="Arial"/>
          <w:noProof/>
          <w:sz w:val="28"/>
          <w:szCs w:val="28"/>
          <w:lang w:val="en-GB" w:eastAsia="en-GB"/>
        </w:rPr>
      </w:pPr>
      <w:r>
        <w:rPr>
          <w:rFonts w:ascii="Arial" w:hAnsi="Arial" w:cs="Arial"/>
          <w:noProof/>
          <w:sz w:val="28"/>
          <w:szCs w:val="28"/>
          <w:lang w:val="en-GB" w:eastAsia="en-GB"/>
        </w:rPr>
        <w:t xml:space="preserve">Newry, Mourne and Down District Council Section 75 Policy Screening Report </w:t>
      </w:r>
    </w:p>
    <w:p w:rsidR="00B7521C" w:rsidRDefault="00B7521C">
      <w:pPr>
        <w:pStyle w:val="Heading1"/>
      </w:pPr>
      <w:r>
        <w:t xml:space="preserve">Quarterly Report </w:t>
      </w:r>
      <w:r w:rsidR="0082766D">
        <w:t>October - December</w:t>
      </w:r>
      <w:r w:rsidR="000F62A6">
        <w:t xml:space="preserve"> </w:t>
      </w:r>
      <w:r>
        <w:t>201</w:t>
      </w:r>
      <w:r w:rsidR="00ED0224">
        <w:t>6</w:t>
      </w:r>
    </w:p>
    <w:p w:rsidR="00B7521C" w:rsidRDefault="00B7521C">
      <w:pPr>
        <w:jc w:val="center"/>
        <w:rPr>
          <w:rFonts w:ascii="Arial" w:hAnsi="Arial" w:cs="Arial"/>
          <w:b/>
          <w:bCs/>
          <w:sz w:val="24"/>
          <w:szCs w:val="24"/>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2162"/>
        <w:gridCol w:w="6945"/>
        <w:gridCol w:w="2268"/>
      </w:tblGrid>
      <w:tr w:rsidR="00B7521C" w:rsidRPr="006B7325" w:rsidTr="00B4654E">
        <w:tc>
          <w:tcPr>
            <w:tcW w:w="1207" w:type="dxa"/>
          </w:tcPr>
          <w:p w:rsidR="00B7521C" w:rsidRPr="006B7325" w:rsidRDefault="00B7521C" w:rsidP="006B7325">
            <w:pPr>
              <w:spacing w:after="0" w:line="240" w:lineRule="auto"/>
              <w:rPr>
                <w:rFonts w:ascii="Arial" w:hAnsi="Arial" w:cs="Arial"/>
                <w:b/>
                <w:sz w:val="24"/>
                <w:szCs w:val="24"/>
                <w:lang w:val="en-GB"/>
              </w:rPr>
            </w:pPr>
            <w:r w:rsidRPr="006B7325">
              <w:rPr>
                <w:rFonts w:ascii="Arial" w:hAnsi="Arial" w:cs="Arial"/>
                <w:b/>
                <w:sz w:val="24"/>
                <w:szCs w:val="24"/>
                <w:lang w:val="en-GB"/>
              </w:rPr>
              <w:t>Policy Number</w:t>
            </w:r>
          </w:p>
        </w:tc>
        <w:tc>
          <w:tcPr>
            <w:tcW w:w="2162" w:type="dxa"/>
          </w:tcPr>
          <w:p w:rsidR="00B7521C" w:rsidRPr="006B7325" w:rsidRDefault="00B7521C" w:rsidP="006B7325">
            <w:pPr>
              <w:spacing w:after="0" w:line="240" w:lineRule="auto"/>
              <w:rPr>
                <w:rFonts w:ascii="Arial" w:hAnsi="Arial" w:cs="Arial"/>
                <w:b/>
                <w:sz w:val="24"/>
                <w:szCs w:val="24"/>
                <w:lang w:val="en-GB"/>
              </w:rPr>
            </w:pPr>
            <w:r w:rsidRPr="006B7325">
              <w:rPr>
                <w:rFonts w:ascii="Arial" w:hAnsi="Arial" w:cs="Arial"/>
                <w:b/>
                <w:sz w:val="24"/>
                <w:szCs w:val="24"/>
                <w:lang w:val="en-GB"/>
              </w:rPr>
              <w:t>Policy</w:t>
            </w:r>
          </w:p>
        </w:tc>
        <w:tc>
          <w:tcPr>
            <w:tcW w:w="6945" w:type="dxa"/>
          </w:tcPr>
          <w:p w:rsidR="00B7521C" w:rsidRPr="006B7325" w:rsidRDefault="00B7521C" w:rsidP="006B7325">
            <w:pPr>
              <w:spacing w:after="0" w:line="240" w:lineRule="auto"/>
              <w:rPr>
                <w:rFonts w:ascii="Arial" w:hAnsi="Arial" w:cs="Arial"/>
                <w:b/>
                <w:sz w:val="24"/>
                <w:szCs w:val="24"/>
                <w:lang w:val="en-GB"/>
              </w:rPr>
            </w:pPr>
            <w:r w:rsidRPr="006B7325">
              <w:rPr>
                <w:rFonts w:ascii="Arial" w:hAnsi="Arial" w:cs="Arial"/>
                <w:b/>
                <w:sz w:val="24"/>
                <w:szCs w:val="24"/>
                <w:lang w:val="en-GB"/>
              </w:rPr>
              <w:t>Details of policy</w:t>
            </w:r>
          </w:p>
        </w:tc>
        <w:tc>
          <w:tcPr>
            <w:tcW w:w="2268" w:type="dxa"/>
          </w:tcPr>
          <w:p w:rsidR="00B7521C" w:rsidRPr="006B7325" w:rsidRDefault="00B7521C" w:rsidP="006B7325">
            <w:pPr>
              <w:spacing w:after="0" w:line="240" w:lineRule="auto"/>
              <w:rPr>
                <w:rFonts w:ascii="Arial" w:hAnsi="Arial" w:cs="Arial"/>
                <w:b/>
                <w:sz w:val="24"/>
                <w:szCs w:val="24"/>
                <w:lang w:val="en-GB"/>
              </w:rPr>
            </w:pPr>
            <w:r w:rsidRPr="006B7325">
              <w:rPr>
                <w:rFonts w:ascii="Arial" w:hAnsi="Arial" w:cs="Arial"/>
                <w:b/>
                <w:sz w:val="24"/>
                <w:szCs w:val="24"/>
                <w:lang w:val="en-GB"/>
              </w:rPr>
              <w:t>Screening Outcome</w:t>
            </w:r>
          </w:p>
        </w:tc>
      </w:tr>
      <w:tr w:rsidR="006B7325" w:rsidRPr="006B7325" w:rsidTr="00B4654E">
        <w:tc>
          <w:tcPr>
            <w:tcW w:w="1207" w:type="dxa"/>
          </w:tcPr>
          <w:p w:rsidR="006B7325" w:rsidRPr="006B7325" w:rsidRDefault="006B7325" w:rsidP="00F16FFC">
            <w:pPr>
              <w:spacing w:after="0" w:line="240" w:lineRule="auto"/>
              <w:rPr>
                <w:rFonts w:ascii="Arial" w:hAnsi="Arial" w:cs="Arial"/>
                <w:sz w:val="24"/>
                <w:szCs w:val="24"/>
              </w:rPr>
            </w:pPr>
            <w:r w:rsidRPr="006B7325">
              <w:rPr>
                <w:rFonts w:ascii="Arial" w:hAnsi="Arial" w:cs="Arial"/>
                <w:sz w:val="24"/>
                <w:szCs w:val="24"/>
              </w:rPr>
              <w:t>134</w:t>
            </w:r>
          </w:p>
        </w:tc>
        <w:tc>
          <w:tcPr>
            <w:tcW w:w="2162" w:type="dxa"/>
          </w:tcPr>
          <w:p w:rsidR="006B7325" w:rsidRPr="006B7325" w:rsidRDefault="006B7325" w:rsidP="00F16FFC">
            <w:pPr>
              <w:pStyle w:val="NoSpacing"/>
              <w:rPr>
                <w:rFonts w:ascii="Arial" w:hAnsi="Arial" w:cs="Arial"/>
                <w:bCs/>
                <w:sz w:val="24"/>
                <w:szCs w:val="24"/>
              </w:rPr>
            </w:pPr>
            <w:r w:rsidRPr="006B7325">
              <w:rPr>
                <w:rFonts w:ascii="Arial" w:hAnsi="Arial" w:cs="Arial"/>
                <w:bCs/>
                <w:sz w:val="24"/>
                <w:szCs w:val="24"/>
              </w:rPr>
              <w:t xml:space="preserve">Draft Strategic Community Plan for Newry, </w:t>
            </w:r>
            <w:proofErr w:type="spellStart"/>
            <w:r w:rsidRPr="006B7325">
              <w:rPr>
                <w:rFonts w:ascii="Arial" w:hAnsi="Arial" w:cs="Arial"/>
                <w:bCs/>
                <w:sz w:val="24"/>
                <w:szCs w:val="24"/>
              </w:rPr>
              <w:t>Mourne</w:t>
            </w:r>
            <w:proofErr w:type="spellEnd"/>
            <w:r w:rsidRPr="006B7325">
              <w:rPr>
                <w:rFonts w:ascii="Arial" w:hAnsi="Arial" w:cs="Arial"/>
                <w:bCs/>
                <w:sz w:val="24"/>
                <w:szCs w:val="24"/>
              </w:rPr>
              <w:t xml:space="preserve"> and Down</w:t>
            </w:r>
          </w:p>
        </w:tc>
        <w:tc>
          <w:tcPr>
            <w:tcW w:w="6945" w:type="dxa"/>
          </w:tcPr>
          <w:p w:rsidR="006B7325" w:rsidRPr="006B7325" w:rsidRDefault="006B7325" w:rsidP="00F16FFC">
            <w:pPr>
              <w:spacing w:after="0" w:line="240" w:lineRule="auto"/>
              <w:ind w:right="26"/>
              <w:rPr>
                <w:rFonts w:ascii="Arial" w:hAnsi="Arial" w:cs="Arial"/>
                <w:bCs/>
                <w:sz w:val="24"/>
                <w:szCs w:val="24"/>
              </w:rPr>
            </w:pPr>
            <w:r>
              <w:rPr>
                <w:rFonts w:ascii="Arial" w:hAnsi="Arial" w:cs="Arial"/>
                <w:bCs/>
                <w:sz w:val="24"/>
                <w:szCs w:val="24"/>
              </w:rPr>
              <w:t xml:space="preserve">Council’s draft </w:t>
            </w:r>
            <w:r w:rsidRPr="006B7325">
              <w:rPr>
                <w:rFonts w:ascii="Arial" w:hAnsi="Arial" w:cs="Arial"/>
                <w:bCs/>
                <w:sz w:val="24"/>
                <w:szCs w:val="24"/>
              </w:rPr>
              <w:t xml:space="preserve">Community Plan sets out a clear, long term vision for </w:t>
            </w:r>
            <w:proofErr w:type="spellStart"/>
            <w:r w:rsidRPr="006B7325">
              <w:rPr>
                <w:rFonts w:ascii="Arial" w:hAnsi="Arial" w:cs="Arial"/>
                <w:bCs/>
                <w:sz w:val="24"/>
                <w:szCs w:val="24"/>
              </w:rPr>
              <w:t>Newry</w:t>
            </w:r>
            <w:proofErr w:type="spellEnd"/>
            <w:r w:rsidRPr="006B7325">
              <w:rPr>
                <w:rFonts w:ascii="Arial" w:hAnsi="Arial" w:cs="Arial"/>
                <w:bCs/>
                <w:sz w:val="24"/>
                <w:szCs w:val="24"/>
              </w:rPr>
              <w:t xml:space="preserve">, </w:t>
            </w:r>
            <w:proofErr w:type="spellStart"/>
            <w:r w:rsidRPr="006B7325">
              <w:rPr>
                <w:rFonts w:ascii="Arial" w:hAnsi="Arial" w:cs="Arial"/>
                <w:bCs/>
                <w:sz w:val="24"/>
                <w:szCs w:val="24"/>
              </w:rPr>
              <w:t>Mourne</w:t>
            </w:r>
            <w:proofErr w:type="spellEnd"/>
            <w:r w:rsidRPr="006B7325">
              <w:rPr>
                <w:rFonts w:ascii="Arial" w:hAnsi="Arial" w:cs="Arial"/>
                <w:bCs/>
                <w:sz w:val="24"/>
                <w:szCs w:val="24"/>
              </w:rPr>
              <w:t xml:space="preserve"> and Down to 2030.  It outlines the outcomes we will work towards to achieve that vision and, with it, a better quality of life for all.</w:t>
            </w:r>
          </w:p>
          <w:p w:rsidR="006B7325" w:rsidRPr="006B7325" w:rsidRDefault="006B7325" w:rsidP="00F16FFC">
            <w:pPr>
              <w:spacing w:after="0" w:line="240" w:lineRule="auto"/>
              <w:ind w:right="26"/>
              <w:rPr>
                <w:rFonts w:ascii="Arial" w:hAnsi="Arial" w:cs="Arial"/>
                <w:bCs/>
                <w:sz w:val="24"/>
                <w:szCs w:val="24"/>
              </w:rPr>
            </w:pPr>
          </w:p>
          <w:p w:rsidR="006B7325" w:rsidRPr="006B7325" w:rsidRDefault="006B7325" w:rsidP="00F16FFC">
            <w:pPr>
              <w:spacing w:after="0" w:line="240" w:lineRule="auto"/>
              <w:ind w:right="26"/>
              <w:rPr>
                <w:rFonts w:ascii="Arial" w:hAnsi="Arial" w:cs="Arial"/>
                <w:bCs/>
                <w:sz w:val="24"/>
                <w:szCs w:val="24"/>
              </w:rPr>
            </w:pPr>
            <w:r w:rsidRPr="006B7325">
              <w:rPr>
                <w:rFonts w:ascii="Arial" w:hAnsi="Arial" w:cs="Arial"/>
                <w:bCs/>
                <w:sz w:val="24"/>
                <w:szCs w:val="24"/>
              </w:rPr>
              <w:t>The</w:t>
            </w:r>
            <w:r>
              <w:rPr>
                <w:rFonts w:ascii="Arial" w:hAnsi="Arial" w:cs="Arial"/>
                <w:bCs/>
                <w:sz w:val="24"/>
                <w:szCs w:val="24"/>
              </w:rPr>
              <w:t xml:space="preserve"> draft</w:t>
            </w:r>
            <w:r w:rsidRPr="006B7325">
              <w:rPr>
                <w:rFonts w:ascii="Arial" w:hAnsi="Arial" w:cs="Arial"/>
                <w:bCs/>
                <w:sz w:val="24"/>
                <w:szCs w:val="24"/>
              </w:rPr>
              <w:t xml:space="preserve"> Community Plan is the overarching plan for the </w:t>
            </w:r>
            <w:proofErr w:type="spellStart"/>
            <w:r w:rsidRPr="006B7325">
              <w:rPr>
                <w:rFonts w:ascii="Arial" w:hAnsi="Arial" w:cs="Arial"/>
                <w:bCs/>
                <w:sz w:val="24"/>
                <w:szCs w:val="24"/>
              </w:rPr>
              <w:t>Newry</w:t>
            </w:r>
            <w:proofErr w:type="spellEnd"/>
            <w:r w:rsidRPr="006B7325">
              <w:rPr>
                <w:rFonts w:ascii="Arial" w:hAnsi="Arial" w:cs="Arial"/>
                <w:bCs/>
                <w:sz w:val="24"/>
                <w:szCs w:val="24"/>
              </w:rPr>
              <w:t xml:space="preserve">, </w:t>
            </w:r>
            <w:proofErr w:type="spellStart"/>
            <w:r w:rsidRPr="006B7325">
              <w:rPr>
                <w:rFonts w:ascii="Arial" w:hAnsi="Arial" w:cs="Arial"/>
                <w:bCs/>
                <w:sz w:val="24"/>
                <w:szCs w:val="24"/>
              </w:rPr>
              <w:t>Mourne</w:t>
            </w:r>
            <w:proofErr w:type="spellEnd"/>
            <w:r w:rsidRPr="006B7325">
              <w:rPr>
                <w:rFonts w:ascii="Arial" w:hAnsi="Arial" w:cs="Arial"/>
                <w:bCs/>
                <w:sz w:val="24"/>
                <w:szCs w:val="24"/>
              </w:rPr>
              <w:t xml:space="preserve"> and Down District. It brings together the knowledge, expertise and collective resources of a wide range of partners across the public, private and community/voluntary sectors - all working towards a single agreed vision for the area. </w:t>
            </w:r>
          </w:p>
          <w:p w:rsidR="006B7325" w:rsidRPr="006B7325" w:rsidRDefault="006B7325" w:rsidP="00F16FFC">
            <w:pPr>
              <w:spacing w:after="0" w:line="240" w:lineRule="auto"/>
              <w:ind w:right="26"/>
              <w:rPr>
                <w:rFonts w:ascii="Arial" w:hAnsi="Arial" w:cs="Arial"/>
                <w:bCs/>
                <w:sz w:val="24"/>
                <w:szCs w:val="24"/>
              </w:rPr>
            </w:pPr>
            <w:r w:rsidRPr="006B7325">
              <w:rPr>
                <w:rFonts w:ascii="Arial" w:hAnsi="Arial" w:cs="Arial"/>
                <w:bCs/>
                <w:sz w:val="24"/>
                <w:szCs w:val="24"/>
              </w:rPr>
              <w:t xml:space="preserve"> </w:t>
            </w:r>
          </w:p>
          <w:p w:rsidR="006B7325" w:rsidRPr="006B7325" w:rsidRDefault="006B7325" w:rsidP="00F16FFC">
            <w:pPr>
              <w:spacing w:after="0" w:line="240" w:lineRule="auto"/>
              <w:ind w:right="26"/>
              <w:rPr>
                <w:rFonts w:ascii="Arial" w:hAnsi="Arial" w:cs="Arial"/>
                <w:bCs/>
                <w:sz w:val="24"/>
                <w:szCs w:val="24"/>
              </w:rPr>
            </w:pPr>
            <w:r w:rsidRPr="006B7325">
              <w:rPr>
                <w:rFonts w:ascii="Arial" w:hAnsi="Arial" w:cs="Arial"/>
                <w:bCs/>
                <w:sz w:val="24"/>
                <w:szCs w:val="24"/>
              </w:rPr>
              <w:t xml:space="preserve">Community planning presents a unique opportunity to make a real difference to peoples’ lives and, in </w:t>
            </w:r>
            <w:proofErr w:type="spellStart"/>
            <w:r w:rsidRPr="006B7325">
              <w:rPr>
                <w:rFonts w:ascii="Arial" w:hAnsi="Arial" w:cs="Arial"/>
                <w:bCs/>
                <w:sz w:val="24"/>
                <w:szCs w:val="24"/>
              </w:rPr>
              <w:t>Newry</w:t>
            </w:r>
            <w:proofErr w:type="spellEnd"/>
            <w:r w:rsidRPr="006B7325">
              <w:rPr>
                <w:rFonts w:ascii="Arial" w:hAnsi="Arial" w:cs="Arial"/>
                <w:bCs/>
                <w:sz w:val="24"/>
                <w:szCs w:val="24"/>
              </w:rPr>
              <w:t xml:space="preserve">, </w:t>
            </w:r>
            <w:proofErr w:type="spellStart"/>
            <w:r w:rsidRPr="006B7325">
              <w:rPr>
                <w:rFonts w:ascii="Arial" w:hAnsi="Arial" w:cs="Arial"/>
                <w:bCs/>
                <w:sz w:val="24"/>
                <w:szCs w:val="24"/>
              </w:rPr>
              <w:t>Mourne</w:t>
            </w:r>
            <w:proofErr w:type="spellEnd"/>
            <w:r w:rsidRPr="006B7325">
              <w:rPr>
                <w:rFonts w:ascii="Arial" w:hAnsi="Arial" w:cs="Arial"/>
                <w:bCs/>
                <w:sz w:val="24"/>
                <w:szCs w:val="24"/>
              </w:rPr>
              <w:t xml:space="preserve"> and Down, we are committed to making the most of that opportunity.</w:t>
            </w:r>
          </w:p>
          <w:p w:rsidR="006B7325" w:rsidRPr="006B7325" w:rsidRDefault="006B7325" w:rsidP="00F16FFC">
            <w:pPr>
              <w:spacing w:after="0" w:line="240" w:lineRule="auto"/>
              <w:ind w:right="26"/>
              <w:rPr>
                <w:rFonts w:ascii="Arial" w:hAnsi="Arial" w:cs="Arial"/>
                <w:bCs/>
                <w:sz w:val="24"/>
                <w:szCs w:val="24"/>
              </w:rPr>
            </w:pPr>
          </w:p>
          <w:p w:rsidR="006B7325" w:rsidRPr="006B7325" w:rsidRDefault="006B7325" w:rsidP="00F16FFC">
            <w:pPr>
              <w:spacing w:after="0" w:line="240" w:lineRule="auto"/>
              <w:ind w:right="26"/>
              <w:rPr>
                <w:rFonts w:ascii="Arial" w:hAnsi="Arial" w:cs="Arial"/>
                <w:bCs/>
                <w:sz w:val="24"/>
                <w:szCs w:val="24"/>
              </w:rPr>
            </w:pPr>
            <w:r>
              <w:rPr>
                <w:rFonts w:ascii="Arial" w:hAnsi="Arial" w:cs="Arial"/>
                <w:bCs/>
                <w:sz w:val="24"/>
                <w:szCs w:val="24"/>
              </w:rPr>
              <w:t>The draft Community</w:t>
            </w:r>
            <w:r w:rsidRPr="006B7325">
              <w:rPr>
                <w:rFonts w:ascii="Arial" w:hAnsi="Arial" w:cs="Arial"/>
                <w:bCs/>
                <w:sz w:val="24"/>
                <w:szCs w:val="24"/>
              </w:rPr>
              <w:t xml:space="preserve"> Plan has been developed through a co-design process and informed by public engagement.  It focuses on addressing evidence based needs and priorities through a partnership approach.  The </w:t>
            </w:r>
            <w:r>
              <w:rPr>
                <w:rFonts w:ascii="Arial" w:hAnsi="Arial" w:cs="Arial"/>
                <w:bCs/>
                <w:sz w:val="24"/>
                <w:szCs w:val="24"/>
              </w:rPr>
              <w:t xml:space="preserve">draft </w:t>
            </w:r>
            <w:r w:rsidRPr="006B7325">
              <w:rPr>
                <w:rFonts w:ascii="Arial" w:hAnsi="Arial" w:cs="Arial"/>
                <w:bCs/>
                <w:sz w:val="24"/>
                <w:szCs w:val="24"/>
              </w:rPr>
              <w:t xml:space="preserve">Community Plan demonstrates the partners’ collective commitment to improve public services and quality of life for all those who live, visit and work in our district.  It will enable us to identify new and innovative approaches, which </w:t>
            </w:r>
            <w:proofErr w:type="spellStart"/>
            <w:r w:rsidRPr="006B7325">
              <w:rPr>
                <w:rFonts w:ascii="Arial" w:hAnsi="Arial" w:cs="Arial"/>
                <w:bCs/>
                <w:sz w:val="24"/>
                <w:szCs w:val="24"/>
              </w:rPr>
              <w:t>recognise</w:t>
            </w:r>
            <w:proofErr w:type="spellEnd"/>
            <w:r w:rsidRPr="006B7325">
              <w:rPr>
                <w:rFonts w:ascii="Arial" w:hAnsi="Arial" w:cs="Arial"/>
                <w:bCs/>
                <w:sz w:val="24"/>
                <w:szCs w:val="24"/>
              </w:rPr>
              <w:t xml:space="preserve"> our unique local </w:t>
            </w:r>
            <w:r w:rsidRPr="006B7325">
              <w:rPr>
                <w:rFonts w:ascii="Arial" w:hAnsi="Arial" w:cs="Arial"/>
                <w:bCs/>
                <w:sz w:val="24"/>
                <w:szCs w:val="24"/>
              </w:rPr>
              <w:lastRenderedPageBreak/>
              <w:t>circumstances and challenges, and will help to deliver our agreed outcomes.</w:t>
            </w:r>
          </w:p>
          <w:p w:rsidR="006B7325" w:rsidRPr="006B7325" w:rsidRDefault="006B7325" w:rsidP="00F16FFC">
            <w:pPr>
              <w:autoSpaceDE w:val="0"/>
              <w:autoSpaceDN w:val="0"/>
              <w:adjustRightInd w:val="0"/>
              <w:spacing w:after="0" w:line="240" w:lineRule="auto"/>
              <w:ind w:right="-188"/>
              <w:rPr>
                <w:rFonts w:ascii="Arial" w:hAnsi="Arial" w:cs="Arial"/>
                <w:iCs/>
                <w:sz w:val="24"/>
                <w:szCs w:val="24"/>
              </w:rPr>
            </w:pPr>
          </w:p>
        </w:tc>
        <w:tc>
          <w:tcPr>
            <w:tcW w:w="2268" w:type="dxa"/>
          </w:tcPr>
          <w:p w:rsidR="006B7325" w:rsidRPr="006B7325" w:rsidRDefault="006B7325" w:rsidP="006B7325">
            <w:pPr>
              <w:spacing w:after="0" w:line="240" w:lineRule="auto"/>
              <w:rPr>
                <w:rFonts w:ascii="Arial" w:hAnsi="Arial" w:cs="Arial"/>
                <w:sz w:val="24"/>
                <w:szCs w:val="24"/>
              </w:rPr>
            </w:pPr>
            <w:r w:rsidRPr="006B7325">
              <w:rPr>
                <w:rFonts w:ascii="Arial" w:hAnsi="Arial" w:cs="Arial"/>
                <w:sz w:val="24"/>
                <w:szCs w:val="24"/>
              </w:rPr>
              <w:lastRenderedPageBreak/>
              <w:t>No EQIA considered necessary</w:t>
            </w:r>
          </w:p>
        </w:tc>
      </w:tr>
      <w:tr w:rsidR="006B7325" w:rsidRPr="006B7325" w:rsidTr="00B4654E">
        <w:tc>
          <w:tcPr>
            <w:tcW w:w="1207" w:type="dxa"/>
          </w:tcPr>
          <w:p w:rsidR="006B7325" w:rsidRPr="006B7325" w:rsidRDefault="006B7325" w:rsidP="006B7325">
            <w:pPr>
              <w:spacing w:after="0" w:line="240" w:lineRule="auto"/>
              <w:rPr>
                <w:rFonts w:ascii="Arial" w:hAnsi="Arial" w:cs="Arial"/>
                <w:sz w:val="24"/>
                <w:szCs w:val="24"/>
                <w:lang w:val="en-GB"/>
              </w:rPr>
            </w:pPr>
            <w:r w:rsidRPr="006B7325">
              <w:rPr>
                <w:rFonts w:ascii="Arial" w:hAnsi="Arial" w:cs="Arial"/>
                <w:sz w:val="24"/>
                <w:szCs w:val="24"/>
                <w:lang w:val="en-GB"/>
              </w:rPr>
              <w:lastRenderedPageBreak/>
              <w:t>135</w:t>
            </w:r>
          </w:p>
        </w:tc>
        <w:tc>
          <w:tcPr>
            <w:tcW w:w="2162" w:type="dxa"/>
          </w:tcPr>
          <w:p w:rsidR="006B7325" w:rsidRPr="006B7325" w:rsidRDefault="006B7325" w:rsidP="006B7325">
            <w:pPr>
              <w:spacing w:after="0" w:line="240" w:lineRule="auto"/>
              <w:rPr>
                <w:rFonts w:ascii="Arial" w:hAnsi="Arial" w:cs="Arial"/>
                <w:sz w:val="24"/>
                <w:szCs w:val="24"/>
              </w:rPr>
            </w:pPr>
            <w:r w:rsidRPr="006B7325">
              <w:rPr>
                <w:rFonts w:ascii="Arial" w:hAnsi="Arial" w:cs="Arial"/>
                <w:bCs/>
                <w:sz w:val="24"/>
                <w:szCs w:val="24"/>
              </w:rPr>
              <w:t>Employee Learning and Development Strategy</w:t>
            </w:r>
          </w:p>
        </w:tc>
        <w:tc>
          <w:tcPr>
            <w:tcW w:w="6945" w:type="dxa"/>
          </w:tcPr>
          <w:p w:rsidR="006B7325" w:rsidRPr="006B7325" w:rsidRDefault="006B7325" w:rsidP="006B7325">
            <w:pPr>
              <w:pStyle w:val="Heading2"/>
              <w:spacing w:before="0" w:line="240" w:lineRule="auto"/>
              <w:rPr>
                <w:rFonts w:ascii="Arial" w:hAnsi="Arial" w:cs="Arial"/>
                <w:b w:val="0"/>
                <w:color w:val="auto"/>
                <w:sz w:val="24"/>
                <w:szCs w:val="24"/>
              </w:rPr>
            </w:pPr>
            <w:proofErr w:type="spellStart"/>
            <w:r w:rsidRPr="006B7325">
              <w:rPr>
                <w:rFonts w:ascii="Arial" w:hAnsi="Arial" w:cs="Arial"/>
                <w:b w:val="0"/>
                <w:color w:val="auto"/>
                <w:sz w:val="24"/>
                <w:szCs w:val="24"/>
              </w:rPr>
              <w:t>Newry</w:t>
            </w:r>
            <w:proofErr w:type="spellEnd"/>
            <w:r w:rsidRPr="006B7325">
              <w:rPr>
                <w:rFonts w:ascii="Arial" w:hAnsi="Arial" w:cs="Arial"/>
                <w:b w:val="0"/>
                <w:color w:val="auto"/>
                <w:sz w:val="24"/>
                <w:szCs w:val="24"/>
              </w:rPr>
              <w:t xml:space="preserve"> </w:t>
            </w:r>
            <w:proofErr w:type="spellStart"/>
            <w:r w:rsidRPr="006B7325">
              <w:rPr>
                <w:rFonts w:ascii="Arial" w:hAnsi="Arial" w:cs="Arial"/>
                <w:b w:val="0"/>
                <w:color w:val="auto"/>
                <w:sz w:val="24"/>
                <w:szCs w:val="24"/>
              </w:rPr>
              <w:t>Mourne</w:t>
            </w:r>
            <w:proofErr w:type="spellEnd"/>
            <w:r w:rsidRPr="006B7325">
              <w:rPr>
                <w:rFonts w:ascii="Arial" w:hAnsi="Arial" w:cs="Arial"/>
                <w:b w:val="0"/>
                <w:color w:val="auto"/>
                <w:sz w:val="24"/>
                <w:szCs w:val="24"/>
              </w:rPr>
              <w:t xml:space="preserve"> and Down District Council’s (NMDDC) Learning and Development Policy puts in place systems and processes to support the delivery of the Councils vision, purpose and values. </w:t>
            </w:r>
          </w:p>
          <w:p w:rsidR="006B7325" w:rsidRPr="006B7325" w:rsidRDefault="006B7325" w:rsidP="006B7325">
            <w:pPr>
              <w:spacing w:after="0" w:line="240" w:lineRule="auto"/>
              <w:rPr>
                <w:rFonts w:ascii="Arial" w:hAnsi="Arial" w:cs="Arial"/>
                <w:sz w:val="24"/>
                <w:szCs w:val="24"/>
              </w:rPr>
            </w:pPr>
          </w:p>
          <w:p w:rsidR="006B7325" w:rsidRPr="006B7325" w:rsidRDefault="006B7325" w:rsidP="006B7325">
            <w:pPr>
              <w:pStyle w:val="Heading2"/>
              <w:spacing w:before="0" w:line="240" w:lineRule="auto"/>
              <w:rPr>
                <w:rFonts w:ascii="Arial" w:hAnsi="Arial" w:cs="Arial"/>
                <w:b w:val="0"/>
                <w:color w:val="auto"/>
                <w:sz w:val="24"/>
                <w:szCs w:val="24"/>
              </w:rPr>
            </w:pPr>
            <w:r w:rsidRPr="006B7325">
              <w:rPr>
                <w:rFonts w:ascii="Arial" w:hAnsi="Arial" w:cs="Arial"/>
                <w:b w:val="0"/>
                <w:color w:val="auto"/>
                <w:sz w:val="24"/>
                <w:szCs w:val="24"/>
              </w:rPr>
              <w:t xml:space="preserve">The development of all Council employees is integral to the pursuit of quality, effectiveness and success. The Council seeks to </w:t>
            </w:r>
            <w:proofErr w:type="spellStart"/>
            <w:r w:rsidRPr="006B7325">
              <w:rPr>
                <w:rFonts w:ascii="Arial" w:hAnsi="Arial" w:cs="Arial"/>
                <w:b w:val="0"/>
                <w:color w:val="auto"/>
                <w:sz w:val="24"/>
                <w:szCs w:val="24"/>
              </w:rPr>
              <w:t>maximise</w:t>
            </w:r>
            <w:proofErr w:type="spellEnd"/>
            <w:r w:rsidRPr="006B7325">
              <w:rPr>
                <w:rFonts w:ascii="Arial" w:hAnsi="Arial" w:cs="Arial"/>
                <w:b w:val="0"/>
                <w:color w:val="auto"/>
                <w:sz w:val="24"/>
                <w:szCs w:val="24"/>
              </w:rPr>
              <w:t xml:space="preserve"> individual contribution at all levels by providing appropriate opportunities for on the job, personal and professional development as well as part-time study.  </w:t>
            </w:r>
          </w:p>
          <w:p w:rsidR="006B7325" w:rsidRPr="006B7325" w:rsidRDefault="006B7325" w:rsidP="006B7325">
            <w:pPr>
              <w:pStyle w:val="Heading2"/>
              <w:spacing w:before="0" w:line="240" w:lineRule="auto"/>
              <w:rPr>
                <w:rFonts w:ascii="Arial" w:hAnsi="Arial" w:cs="Arial"/>
                <w:b w:val="0"/>
                <w:color w:val="auto"/>
                <w:sz w:val="24"/>
                <w:szCs w:val="24"/>
              </w:rPr>
            </w:pPr>
          </w:p>
          <w:p w:rsidR="006B7325" w:rsidRPr="006B7325" w:rsidRDefault="006B7325" w:rsidP="006B7325">
            <w:pPr>
              <w:pStyle w:val="Heading2"/>
              <w:spacing w:before="0" w:line="240" w:lineRule="auto"/>
              <w:rPr>
                <w:rFonts w:ascii="Arial" w:hAnsi="Arial" w:cs="Arial"/>
                <w:b w:val="0"/>
                <w:color w:val="auto"/>
                <w:sz w:val="24"/>
                <w:szCs w:val="24"/>
              </w:rPr>
            </w:pPr>
            <w:r w:rsidRPr="006B7325">
              <w:rPr>
                <w:rFonts w:ascii="Arial" w:hAnsi="Arial" w:cs="Arial"/>
                <w:b w:val="0"/>
                <w:color w:val="auto"/>
                <w:sz w:val="24"/>
                <w:szCs w:val="24"/>
              </w:rPr>
              <w:t xml:space="preserve">The Council’s </w:t>
            </w:r>
            <w:proofErr w:type="gramStart"/>
            <w:r w:rsidRPr="006B7325">
              <w:rPr>
                <w:rFonts w:ascii="Arial" w:hAnsi="Arial" w:cs="Arial"/>
                <w:b w:val="0"/>
                <w:color w:val="auto"/>
                <w:sz w:val="24"/>
                <w:szCs w:val="24"/>
              </w:rPr>
              <w:t>Learning</w:t>
            </w:r>
            <w:proofErr w:type="gramEnd"/>
            <w:r w:rsidRPr="006B7325">
              <w:rPr>
                <w:rFonts w:ascii="Arial" w:hAnsi="Arial" w:cs="Arial"/>
                <w:b w:val="0"/>
                <w:color w:val="auto"/>
                <w:sz w:val="24"/>
                <w:szCs w:val="24"/>
              </w:rPr>
              <w:t xml:space="preserve"> and Development Policy aims to establish and maintain a culture which values life-long learning and development amongst employees.</w:t>
            </w:r>
          </w:p>
          <w:p w:rsidR="006B7325" w:rsidRPr="006B7325" w:rsidRDefault="006B7325" w:rsidP="006B7325">
            <w:pPr>
              <w:spacing w:after="0" w:line="240" w:lineRule="auto"/>
              <w:rPr>
                <w:rFonts w:ascii="Arial" w:hAnsi="Arial" w:cs="Arial"/>
                <w:bCs/>
                <w:sz w:val="24"/>
                <w:szCs w:val="24"/>
              </w:rPr>
            </w:pPr>
          </w:p>
          <w:p w:rsidR="006B7325" w:rsidRPr="006B7325" w:rsidRDefault="006B7325" w:rsidP="006B7325">
            <w:pPr>
              <w:spacing w:after="0" w:line="240" w:lineRule="auto"/>
              <w:rPr>
                <w:rFonts w:ascii="Arial" w:hAnsi="Arial" w:cs="Arial"/>
                <w:bCs/>
                <w:sz w:val="24"/>
                <w:szCs w:val="24"/>
              </w:rPr>
            </w:pPr>
            <w:r w:rsidRPr="006B7325">
              <w:rPr>
                <w:rFonts w:ascii="Arial" w:hAnsi="Arial" w:cs="Arial"/>
                <w:bCs/>
                <w:sz w:val="24"/>
                <w:szCs w:val="24"/>
              </w:rPr>
              <w:t>The main aims of the policy are to:</w:t>
            </w:r>
          </w:p>
          <w:p w:rsidR="006B7325" w:rsidRPr="006B7325" w:rsidRDefault="006B7325" w:rsidP="006B7325">
            <w:pPr>
              <w:pStyle w:val="Heading3"/>
              <w:keepLines w:val="0"/>
              <w:numPr>
                <w:ilvl w:val="0"/>
                <w:numId w:val="17"/>
              </w:numPr>
              <w:spacing w:before="0" w:line="240" w:lineRule="auto"/>
              <w:rPr>
                <w:rFonts w:ascii="Arial" w:hAnsi="Arial" w:cs="Arial"/>
                <w:b w:val="0"/>
                <w:color w:val="auto"/>
                <w:sz w:val="24"/>
                <w:szCs w:val="24"/>
              </w:rPr>
            </w:pPr>
            <w:proofErr w:type="gramStart"/>
            <w:r w:rsidRPr="006B7325">
              <w:rPr>
                <w:rFonts w:ascii="Arial" w:hAnsi="Arial" w:cs="Arial"/>
                <w:b w:val="0"/>
                <w:color w:val="auto"/>
                <w:sz w:val="24"/>
                <w:szCs w:val="24"/>
              </w:rPr>
              <w:t>ensure</w:t>
            </w:r>
            <w:proofErr w:type="gramEnd"/>
            <w:r w:rsidRPr="006B7325">
              <w:rPr>
                <w:rFonts w:ascii="Arial" w:hAnsi="Arial" w:cs="Arial"/>
                <w:b w:val="0"/>
                <w:color w:val="auto"/>
                <w:sz w:val="24"/>
                <w:szCs w:val="24"/>
              </w:rPr>
              <w:t xml:space="preserve"> that employees are supported and enabled to meet the changing demands of the Council and its service users so that the Council achieves its strategic objectives,</w:t>
            </w:r>
          </w:p>
          <w:p w:rsidR="006B7325" w:rsidRPr="006B7325" w:rsidRDefault="006B7325" w:rsidP="006B7325">
            <w:pPr>
              <w:pStyle w:val="Heading3"/>
              <w:keepLines w:val="0"/>
              <w:numPr>
                <w:ilvl w:val="0"/>
                <w:numId w:val="17"/>
              </w:numPr>
              <w:spacing w:before="0" w:line="240" w:lineRule="auto"/>
              <w:rPr>
                <w:rFonts w:ascii="Arial" w:hAnsi="Arial" w:cs="Arial"/>
                <w:b w:val="0"/>
                <w:color w:val="auto"/>
                <w:sz w:val="24"/>
                <w:szCs w:val="24"/>
              </w:rPr>
            </w:pPr>
            <w:proofErr w:type="gramStart"/>
            <w:r w:rsidRPr="006B7325">
              <w:rPr>
                <w:rFonts w:ascii="Arial" w:hAnsi="Arial" w:cs="Arial"/>
                <w:b w:val="0"/>
                <w:color w:val="auto"/>
                <w:sz w:val="24"/>
                <w:szCs w:val="24"/>
              </w:rPr>
              <w:t>facilitate</w:t>
            </w:r>
            <w:proofErr w:type="gramEnd"/>
            <w:r w:rsidRPr="006B7325">
              <w:rPr>
                <w:rFonts w:ascii="Arial" w:hAnsi="Arial" w:cs="Arial"/>
                <w:b w:val="0"/>
                <w:color w:val="auto"/>
                <w:sz w:val="24"/>
                <w:szCs w:val="24"/>
              </w:rPr>
              <w:t xml:space="preserve"> employee development through assisting employees to broaden, deepen and thereby further enhance their existing skill and knowledge base,</w:t>
            </w:r>
          </w:p>
          <w:p w:rsidR="006B7325" w:rsidRPr="006B7325" w:rsidRDefault="006B7325" w:rsidP="006B7325">
            <w:pPr>
              <w:pStyle w:val="Heading3"/>
              <w:keepLines w:val="0"/>
              <w:numPr>
                <w:ilvl w:val="0"/>
                <w:numId w:val="17"/>
              </w:numPr>
              <w:spacing w:before="0" w:line="240" w:lineRule="auto"/>
              <w:rPr>
                <w:rFonts w:ascii="Arial" w:hAnsi="Arial" w:cs="Arial"/>
                <w:b w:val="0"/>
                <w:color w:val="auto"/>
                <w:sz w:val="24"/>
                <w:szCs w:val="24"/>
              </w:rPr>
            </w:pPr>
            <w:proofErr w:type="gramStart"/>
            <w:r w:rsidRPr="006B7325">
              <w:rPr>
                <w:rFonts w:ascii="Arial" w:hAnsi="Arial" w:cs="Arial"/>
                <w:b w:val="0"/>
                <w:color w:val="auto"/>
                <w:sz w:val="24"/>
                <w:szCs w:val="24"/>
              </w:rPr>
              <w:t>provide</w:t>
            </w:r>
            <w:proofErr w:type="gramEnd"/>
            <w:r w:rsidRPr="006B7325">
              <w:rPr>
                <w:rFonts w:ascii="Arial" w:hAnsi="Arial" w:cs="Arial"/>
                <w:b w:val="0"/>
                <w:color w:val="auto"/>
                <w:sz w:val="24"/>
                <w:szCs w:val="24"/>
              </w:rPr>
              <w:t xml:space="preserve"> a working environment where continuous learning and development take place to help employees gain more enjoyment from their roles, increase their motivation and enhance employee retention.</w:t>
            </w:r>
          </w:p>
          <w:p w:rsidR="006B7325" w:rsidRPr="006B7325" w:rsidRDefault="006B7325" w:rsidP="006B7325">
            <w:pPr>
              <w:spacing w:after="0" w:line="240" w:lineRule="auto"/>
              <w:rPr>
                <w:rFonts w:ascii="Arial" w:hAnsi="Arial" w:cs="Arial"/>
                <w:sz w:val="24"/>
                <w:szCs w:val="24"/>
                <w:lang w:val="en-GB"/>
              </w:rPr>
            </w:pPr>
          </w:p>
        </w:tc>
        <w:tc>
          <w:tcPr>
            <w:tcW w:w="2268" w:type="dxa"/>
          </w:tcPr>
          <w:p w:rsidR="006B7325" w:rsidRPr="006B7325" w:rsidRDefault="006B7325" w:rsidP="006B7325">
            <w:pPr>
              <w:spacing w:after="0" w:line="240" w:lineRule="auto"/>
              <w:rPr>
                <w:rFonts w:ascii="Arial" w:hAnsi="Arial" w:cs="Arial"/>
                <w:sz w:val="24"/>
                <w:szCs w:val="24"/>
                <w:lang w:val="en-GB"/>
              </w:rPr>
            </w:pPr>
            <w:r w:rsidRPr="006B7325">
              <w:rPr>
                <w:rFonts w:ascii="Arial" w:hAnsi="Arial" w:cs="Arial"/>
                <w:sz w:val="24"/>
                <w:szCs w:val="24"/>
              </w:rPr>
              <w:t>No EQIA considered necessary</w:t>
            </w:r>
          </w:p>
        </w:tc>
      </w:tr>
      <w:tr w:rsidR="006B7325" w:rsidRPr="006B7325" w:rsidTr="00B4654E">
        <w:tc>
          <w:tcPr>
            <w:tcW w:w="1207" w:type="dxa"/>
          </w:tcPr>
          <w:p w:rsidR="006B7325" w:rsidRPr="006B7325" w:rsidRDefault="006B7325" w:rsidP="006B7325">
            <w:pPr>
              <w:spacing w:after="0" w:line="240" w:lineRule="auto"/>
              <w:rPr>
                <w:rFonts w:ascii="Arial" w:hAnsi="Arial" w:cs="Arial"/>
                <w:sz w:val="24"/>
                <w:szCs w:val="24"/>
              </w:rPr>
            </w:pPr>
            <w:r w:rsidRPr="006B7325">
              <w:rPr>
                <w:rFonts w:ascii="Arial" w:hAnsi="Arial" w:cs="Arial"/>
                <w:sz w:val="24"/>
                <w:szCs w:val="24"/>
              </w:rPr>
              <w:t>136</w:t>
            </w:r>
          </w:p>
        </w:tc>
        <w:tc>
          <w:tcPr>
            <w:tcW w:w="2162" w:type="dxa"/>
          </w:tcPr>
          <w:p w:rsidR="006B7325" w:rsidRPr="006B7325" w:rsidRDefault="006B7325" w:rsidP="006B7325">
            <w:pPr>
              <w:pStyle w:val="NoSpacing"/>
              <w:rPr>
                <w:rFonts w:ascii="Arial" w:hAnsi="Arial" w:cs="Arial"/>
                <w:sz w:val="24"/>
                <w:szCs w:val="24"/>
              </w:rPr>
            </w:pPr>
            <w:r w:rsidRPr="006B7325">
              <w:rPr>
                <w:rFonts w:ascii="Arial" w:hAnsi="Arial" w:cs="Arial"/>
                <w:bCs/>
                <w:sz w:val="24"/>
                <w:szCs w:val="24"/>
              </w:rPr>
              <w:t>International Relations Policy</w:t>
            </w:r>
          </w:p>
        </w:tc>
        <w:tc>
          <w:tcPr>
            <w:tcW w:w="6945" w:type="dxa"/>
          </w:tcPr>
          <w:p w:rsidR="006B7325" w:rsidRPr="006B7325" w:rsidRDefault="006B7325" w:rsidP="006B7325">
            <w:pPr>
              <w:autoSpaceDE w:val="0"/>
              <w:autoSpaceDN w:val="0"/>
              <w:adjustRightInd w:val="0"/>
              <w:spacing w:after="0" w:line="240" w:lineRule="auto"/>
              <w:ind w:right="-188"/>
              <w:rPr>
                <w:rFonts w:ascii="Arial" w:hAnsi="Arial" w:cs="Arial"/>
                <w:sz w:val="24"/>
                <w:szCs w:val="24"/>
              </w:rPr>
            </w:pPr>
            <w:r w:rsidRPr="006B7325">
              <w:rPr>
                <w:rFonts w:ascii="Arial" w:hAnsi="Arial" w:cs="Arial"/>
                <w:iCs/>
                <w:sz w:val="24"/>
                <w:szCs w:val="24"/>
              </w:rPr>
              <w:t xml:space="preserve">The policy seeks to ensure a more strategic and co-ordinated approach to the development of the district’s European and international partnerships and engagement, and to </w:t>
            </w:r>
            <w:r w:rsidRPr="006B7325">
              <w:rPr>
                <w:rFonts w:ascii="Arial" w:hAnsi="Arial" w:cs="Arial"/>
                <w:sz w:val="24"/>
                <w:szCs w:val="24"/>
              </w:rPr>
              <w:t xml:space="preserve">provide a </w:t>
            </w:r>
            <w:r w:rsidRPr="006B7325">
              <w:rPr>
                <w:rFonts w:ascii="Arial" w:hAnsi="Arial" w:cs="Arial"/>
                <w:sz w:val="24"/>
                <w:szCs w:val="24"/>
              </w:rPr>
              <w:lastRenderedPageBreak/>
              <w:t>framework for the development of international relationships between the Council and its European and non-European partners.</w:t>
            </w:r>
          </w:p>
          <w:p w:rsidR="006B7325" w:rsidRPr="006B7325" w:rsidRDefault="006B7325" w:rsidP="006B7325">
            <w:pPr>
              <w:autoSpaceDE w:val="0"/>
              <w:autoSpaceDN w:val="0"/>
              <w:adjustRightInd w:val="0"/>
              <w:spacing w:after="0" w:line="240" w:lineRule="auto"/>
              <w:rPr>
                <w:rFonts w:ascii="Arial" w:hAnsi="Arial" w:cs="Arial"/>
                <w:sz w:val="24"/>
                <w:szCs w:val="24"/>
              </w:rPr>
            </w:pPr>
          </w:p>
          <w:p w:rsidR="006B7325" w:rsidRPr="006B7325" w:rsidRDefault="006B7325" w:rsidP="006B7325">
            <w:pPr>
              <w:spacing w:after="0" w:line="240" w:lineRule="auto"/>
              <w:rPr>
                <w:rFonts w:ascii="Arial" w:hAnsi="Arial" w:cs="Arial"/>
                <w:sz w:val="24"/>
                <w:szCs w:val="24"/>
              </w:rPr>
            </w:pPr>
            <w:r w:rsidRPr="006B7325">
              <w:rPr>
                <w:rFonts w:ascii="Arial" w:hAnsi="Arial" w:cs="Arial"/>
                <w:sz w:val="24"/>
                <w:szCs w:val="24"/>
              </w:rPr>
              <w:t xml:space="preserve">The Policy aims to support Council’s Corporate Plan and will ensure the best global positioning and advantage for the Council and people of </w:t>
            </w:r>
            <w:proofErr w:type="spellStart"/>
            <w:r w:rsidRPr="006B7325">
              <w:rPr>
                <w:rFonts w:ascii="Arial" w:hAnsi="Arial" w:cs="Arial"/>
                <w:sz w:val="24"/>
                <w:szCs w:val="24"/>
              </w:rPr>
              <w:t>Newry</w:t>
            </w:r>
            <w:proofErr w:type="spellEnd"/>
            <w:r w:rsidRPr="006B7325">
              <w:rPr>
                <w:rFonts w:ascii="Arial" w:hAnsi="Arial" w:cs="Arial"/>
                <w:sz w:val="24"/>
                <w:szCs w:val="24"/>
              </w:rPr>
              <w:t xml:space="preserve">, </w:t>
            </w:r>
            <w:proofErr w:type="spellStart"/>
            <w:r w:rsidRPr="006B7325">
              <w:rPr>
                <w:rFonts w:ascii="Arial" w:hAnsi="Arial" w:cs="Arial"/>
                <w:sz w:val="24"/>
                <w:szCs w:val="24"/>
              </w:rPr>
              <w:t>Mourne</w:t>
            </w:r>
            <w:proofErr w:type="spellEnd"/>
            <w:r w:rsidRPr="006B7325">
              <w:rPr>
                <w:rFonts w:ascii="Arial" w:hAnsi="Arial" w:cs="Arial"/>
                <w:sz w:val="24"/>
                <w:szCs w:val="24"/>
              </w:rPr>
              <w:t xml:space="preserve"> and Down.</w:t>
            </w:r>
          </w:p>
          <w:p w:rsidR="006B7325" w:rsidRPr="006B7325" w:rsidRDefault="006B7325" w:rsidP="006B7325">
            <w:pPr>
              <w:spacing w:after="0" w:line="240" w:lineRule="auto"/>
              <w:ind w:left="720"/>
              <w:rPr>
                <w:rFonts w:ascii="Arial" w:hAnsi="Arial" w:cs="Arial"/>
                <w:i/>
                <w:iCs/>
                <w:sz w:val="24"/>
                <w:szCs w:val="24"/>
              </w:rPr>
            </w:pPr>
          </w:p>
          <w:p w:rsidR="006B7325" w:rsidRPr="006B7325" w:rsidRDefault="006B7325" w:rsidP="006B7325">
            <w:pPr>
              <w:spacing w:after="0" w:line="240" w:lineRule="auto"/>
              <w:rPr>
                <w:rFonts w:ascii="Arial" w:hAnsi="Arial" w:cs="Arial"/>
                <w:iCs/>
                <w:sz w:val="24"/>
                <w:szCs w:val="24"/>
              </w:rPr>
            </w:pPr>
            <w:r w:rsidRPr="006B7325">
              <w:rPr>
                <w:rFonts w:ascii="Arial" w:hAnsi="Arial" w:cs="Arial"/>
                <w:iCs/>
                <w:sz w:val="24"/>
                <w:szCs w:val="24"/>
              </w:rPr>
              <w:t>The main objectives of the Policy are:</w:t>
            </w:r>
          </w:p>
          <w:p w:rsidR="006B7325" w:rsidRPr="006B7325" w:rsidRDefault="006B7325" w:rsidP="006B7325">
            <w:pPr>
              <w:pStyle w:val="ListParagraph"/>
              <w:numPr>
                <w:ilvl w:val="0"/>
                <w:numId w:val="18"/>
              </w:numPr>
              <w:contextualSpacing/>
              <w:rPr>
                <w:rFonts w:ascii="Arial" w:hAnsi="Arial" w:cs="Arial"/>
                <w:iCs/>
              </w:rPr>
            </w:pPr>
            <w:r w:rsidRPr="006B7325">
              <w:rPr>
                <w:rFonts w:ascii="Arial" w:hAnsi="Arial" w:cs="Arial"/>
                <w:iCs/>
              </w:rPr>
              <w:t>Strengthening international partnerships and fostering linkages</w:t>
            </w:r>
          </w:p>
          <w:p w:rsidR="006B7325" w:rsidRPr="006B7325" w:rsidRDefault="006B7325" w:rsidP="006B7325">
            <w:pPr>
              <w:pStyle w:val="ListParagraph"/>
              <w:numPr>
                <w:ilvl w:val="0"/>
                <w:numId w:val="18"/>
              </w:numPr>
              <w:contextualSpacing/>
              <w:rPr>
                <w:rFonts w:ascii="Arial" w:hAnsi="Arial" w:cs="Arial"/>
                <w:iCs/>
              </w:rPr>
            </w:pPr>
            <w:r w:rsidRPr="006B7325">
              <w:rPr>
                <w:rFonts w:ascii="Arial" w:hAnsi="Arial" w:cs="Arial"/>
                <w:iCs/>
              </w:rPr>
              <w:t>Enhancing district’s reputation &amp; influence internationally</w:t>
            </w:r>
          </w:p>
          <w:p w:rsidR="006B7325" w:rsidRPr="006B7325" w:rsidRDefault="006B7325" w:rsidP="006B7325">
            <w:pPr>
              <w:pStyle w:val="ListParagraph"/>
              <w:numPr>
                <w:ilvl w:val="0"/>
                <w:numId w:val="18"/>
              </w:numPr>
              <w:contextualSpacing/>
              <w:rPr>
                <w:rFonts w:ascii="Arial" w:hAnsi="Arial" w:cs="Arial"/>
                <w:iCs/>
              </w:rPr>
            </w:pPr>
            <w:r w:rsidRPr="006B7325">
              <w:rPr>
                <w:rFonts w:ascii="Arial" w:hAnsi="Arial" w:cs="Arial"/>
                <w:iCs/>
              </w:rPr>
              <w:t>Maximising funding opportunities</w:t>
            </w:r>
          </w:p>
          <w:p w:rsidR="006B7325" w:rsidRPr="006B7325" w:rsidRDefault="006B7325" w:rsidP="006B7325">
            <w:pPr>
              <w:pStyle w:val="ListParagraph"/>
              <w:numPr>
                <w:ilvl w:val="0"/>
                <w:numId w:val="18"/>
              </w:numPr>
              <w:contextualSpacing/>
              <w:rPr>
                <w:rFonts w:ascii="Arial" w:hAnsi="Arial" w:cs="Arial"/>
                <w:iCs/>
              </w:rPr>
            </w:pPr>
            <w:r w:rsidRPr="006B7325">
              <w:rPr>
                <w:rFonts w:ascii="Arial" w:hAnsi="Arial" w:cs="Arial"/>
                <w:iCs/>
              </w:rPr>
              <w:t>Developing better joined-up working with our key partners</w:t>
            </w:r>
          </w:p>
          <w:p w:rsidR="006B7325" w:rsidRPr="006B7325" w:rsidRDefault="006B7325" w:rsidP="006B7325">
            <w:pPr>
              <w:pStyle w:val="BodyText"/>
              <w:ind w:left="360"/>
              <w:rPr>
                <w:sz w:val="24"/>
                <w:szCs w:val="24"/>
              </w:rPr>
            </w:pPr>
          </w:p>
        </w:tc>
        <w:tc>
          <w:tcPr>
            <w:tcW w:w="2268" w:type="dxa"/>
          </w:tcPr>
          <w:p w:rsidR="006B7325" w:rsidRPr="006B7325" w:rsidRDefault="006B7325" w:rsidP="006B7325">
            <w:pPr>
              <w:spacing w:after="0" w:line="240" w:lineRule="auto"/>
              <w:rPr>
                <w:rFonts w:ascii="Arial" w:hAnsi="Arial" w:cs="Arial"/>
                <w:sz w:val="24"/>
                <w:szCs w:val="24"/>
              </w:rPr>
            </w:pPr>
            <w:r w:rsidRPr="006B7325">
              <w:rPr>
                <w:rFonts w:ascii="Arial" w:hAnsi="Arial" w:cs="Arial"/>
                <w:sz w:val="24"/>
                <w:szCs w:val="24"/>
              </w:rPr>
              <w:lastRenderedPageBreak/>
              <w:t>No EQIA considered necessary</w:t>
            </w:r>
          </w:p>
        </w:tc>
      </w:tr>
      <w:tr w:rsidR="006B7325" w:rsidRPr="006B7325" w:rsidTr="00B4654E">
        <w:tc>
          <w:tcPr>
            <w:tcW w:w="1207" w:type="dxa"/>
          </w:tcPr>
          <w:p w:rsidR="006B7325" w:rsidRPr="006B7325" w:rsidRDefault="006B7325" w:rsidP="006B7325">
            <w:pPr>
              <w:spacing w:after="0" w:line="240" w:lineRule="auto"/>
              <w:rPr>
                <w:rFonts w:ascii="Arial" w:hAnsi="Arial" w:cs="Arial"/>
                <w:sz w:val="24"/>
                <w:szCs w:val="24"/>
              </w:rPr>
            </w:pPr>
            <w:r w:rsidRPr="006B7325">
              <w:rPr>
                <w:rFonts w:ascii="Arial" w:hAnsi="Arial" w:cs="Arial"/>
                <w:sz w:val="24"/>
                <w:szCs w:val="24"/>
              </w:rPr>
              <w:lastRenderedPageBreak/>
              <w:t>137</w:t>
            </w:r>
          </w:p>
        </w:tc>
        <w:tc>
          <w:tcPr>
            <w:tcW w:w="2162" w:type="dxa"/>
          </w:tcPr>
          <w:p w:rsidR="006B7325" w:rsidRPr="006B7325" w:rsidRDefault="006B7325" w:rsidP="006B7325">
            <w:pPr>
              <w:pStyle w:val="NoSpacing"/>
              <w:rPr>
                <w:rFonts w:ascii="Arial" w:hAnsi="Arial" w:cs="Arial"/>
                <w:bCs/>
                <w:sz w:val="24"/>
                <w:szCs w:val="24"/>
              </w:rPr>
            </w:pPr>
            <w:r w:rsidRPr="006B7325">
              <w:rPr>
                <w:rFonts w:ascii="Arial" w:hAnsi="Arial" w:cs="Arial"/>
                <w:bCs/>
                <w:sz w:val="24"/>
                <w:szCs w:val="24"/>
              </w:rPr>
              <w:t>Pavement Cafes Enforcement Policy</w:t>
            </w:r>
          </w:p>
        </w:tc>
        <w:tc>
          <w:tcPr>
            <w:tcW w:w="6945" w:type="dxa"/>
          </w:tcPr>
          <w:p w:rsidR="006B7325" w:rsidRPr="006B7325" w:rsidRDefault="006B7325" w:rsidP="006B7325">
            <w:pPr>
              <w:spacing w:after="0" w:line="240" w:lineRule="auto"/>
              <w:rPr>
                <w:rFonts w:ascii="Arial" w:hAnsi="Arial" w:cs="Arial"/>
                <w:sz w:val="24"/>
                <w:szCs w:val="24"/>
              </w:rPr>
            </w:pPr>
            <w:r w:rsidRPr="006B7325">
              <w:rPr>
                <w:rFonts w:ascii="Arial" w:hAnsi="Arial" w:cs="Arial"/>
                <w:sz w:val="24"/>
                <w:szCs w:val="24"/>
              </w:rPr>
              <w:t xml:space="preserve">By virtue of the Licensing of Pavement Cafés Act (Northern Ireland) 2014 </w:t>
            </w:r>
            <w:proofErr w:type="spellStart"/>
            <w:r w:rsidRPr="006B7325">
              <w:rPr>
                <w:rFonts w:ascii="Arial" w:hAnsi="Arial" w:cs="Arial"/>
                <w:sz w:val="24"/>
                <w:szCs w:val="24"/>
              </w:rPr>
              <w:t>Newry</w:t>
            </w:r>
            <w:proofErr w:type="spellEnd"/>
            <w:r w:rsidRPr="006B7325">
              <w:rPr>
                <w:rFonts w:ascii="Arial" w:hAnsi="Arial" w:cs="Arial"/>
                <w:sz w:val="24"/>
                <w:szCs w:val="24"/>
              </w:rPr>
              <w:t xml:space="preserve">, </w:t>
            </w:r>
            <w:proofErr w:type="spellStart"/>
            <w:r w:rsidRPr="006B7325">
              <w:rPr>
                <w:rFonts w:ascii="Arial" w:hAnsi="Arial" w:cs="Arial"/>
                <w:sz w:val="24"/>
                <w:szCs w:val="24"/>
              </w:rPr>
              <w:t>Mourne</w:t>
            </w:r>
            <w:proofErr w:type="spellEnd"/>
            <w:r w:rsidRPr="006B7325">
              <w:rPr>
                <w:rFonts w:ascii="Arial" w:hAnsi="Arial" w:cs="Arial"/>
                <w:sz w:val="24"/>
                <w:szCs w:val="24"/>
              </w:rPr>
              <w:t xml:space="preserve"> and Down District Council may regulate street trading through enforcement powers in a street or part thereof in its District.</w:t>
            </w:r>
          </w:p>
          <w:p w:rsidR="006B7325" w:rsidRPr="006B7325" w:rsidRDefault="006B7325" w:rsidP="006B7325">
            <w:pPr>
              <w:spacing w:after="0" w:line="240" w:lineRule="auto"/>
              <w:rPr>
                <w:rFonts w:ascii="Arial" w:hAnsi="Arial" w:cs="Arial"/>
                <w:sz w:val="24"/>
                <w:szCs w:val="24"/>
              </w:rPr>
            </w:pPr>
          </w:p>
          <w:p w:rsidR="006B7325" w:rsidRDefault="006B7325" w:rsidP="006B7325">
            <w:pPr>
              <w:autoSpaceDE w:val="0"/>
              <w:autoSpaceDN w:val="0"/>
              <w:adjustRightInd w:val="0"/>
              <w:spacing w:after="0" w:line="240" w:lineRule="auto"/>
              <w:ind w:right="-188"/>
              <w:rPr>
                <w:rFonts w:ascii="Arial" w:hAnsi="Arial" w:cs="Arial"/>
                <w:sz w:val="24"/>
                <w:szCs w:val="24"/>
              </w:rPr>
            </w:pPr>
            <w:r w:rsidRPr="006B7325">
              <w:rPr>
                <w:rFonts w:ascii="Arial" w:hAnsi="Arial" w:cs="Arial"/>
                <w:sz w:val="24"/>
                <w:szCs w:val="24"/>
              </w:rPr>
              <w:t xml:space="preserve">The purpose of this Policy is to provide guidance on matters, which should be considered when deciding whether to take enforcement action against a person of whom there is reasonable grounds to suspect commission of an offence under this Act while involved in Pavement Cafés.  Its aim is to provide, in so far as is possible, consistent decision making so as to develop and thereafter maintain public confidence in </w:t>
            </w:r>
            <w:proofErr w:type="spellStart"/>
            <w:r w:rsidRPr="006B7325">
              <w:rPr>
                <w:rFonts w:ascii="Arial" w:hAnsi="Arial" w:cs="Arial"/>
                <w:sz w:val="24"/>
                <w:szCs w:val="24"/>
              </w:rPr>
              <w:t>Newry</w:t>
            </w:r>
            <w:proofErr w:type="spellEnd"/>
            <w:r w:rsidRPr="006B7325">
              <w:rPr>
                <w:rFonts w:ascii="Arial" w:hAnsi="Arial" w:cs="Arial"/>
                <w:sz w:val="24"/>
                <w:szCs w:val="24"/>
              </w:rPr>
              <w:t xml:space="preserve">, </w:t>
            </w:r>
            <w:proofErr w:type="spellStart"/>
            <w:r w:rsidRPr="006B7325">
              <w:rPr>
                <w:rFonts w:ascii="Arial" w:hAnsi="Arial" w:cs="Arial"/>
                <w:sz w:val="24"/>
                <w:szCs w:val="24"/>
              </w:rPr>
              <w:t>Mourne</w:t>
            </w:r>
            <w:proofErr w:type="spellEnd"/>
            <w:r w:rsidRPr="006B7325">
              <w:rPr>
                <w:rFonts w:ascii="Arial" w:hAnsi="Arial" w:cs="Arial"/>
                <w:sz w:val="24"/>
                <w:szCs w:val="24"/>
              </w:rPr>
              <w:t xml:space="preserve"> and Down District Council’s performance of its duties.</w:t>
            </w:r>
          </w:p>
          <w:p w:rsidR="006B7325" w:rsidRPr="006B7325" w:rsidRDefault="006B7325" w:rsidP="006B7325">
            <w:pPr>
              <w:autoSpaceDE w:val="0"/>
              <w:autoSpaceDN w:val="0"/>
              <w:adjustRightInd w:val="0"/>
              <w:spacing w:after="0" w:line="240" w:lineRule="auto"/>
              <w:ind w:right="-188"/>
              <w:rPr>
                <w:rFonts w:ascii="Arial" w:hAnsi="Arial" w:cs="Arial"/>
                <w:iCs/>
                <w:sz w:val="24"/>
                <w:szCs w:val="24"/>
              </w:rPr>
            </w:pPr>
            <w:bookmarkStart w:id="0" w:name="_GoBack"/>
            <w:bookmarkEnd w:id="0"/>
          </w:p>
        </w:tc>
        <w:tc>
          <w:tcPr>
            <w:tcW w:w="2268" w:type="dxa"/>
          </w:tcPr>
          <w:p w:rsidR="006B7325" w:rsidRPr="006B7325" w:rsidRDefault="006B7325" w:rsidP="006B7325">
            <w:pPr>
              <w:spacing w:after="0" w:line="240" w:lineRule="auto"/>
              <w:rPr>
                <w:rFonts w:ascii="Arial" w:hAnsi="Arial" w:cs="Arial"/>
                <w:sz w:val="24"/>
                <w:szCs w:val="24"/>
              </w:rPr>
            </w:pPr>
            <w:r w:rsidRPr="006B7325">
              <w:rPr>
                <w:rFonts w:ascii="Arial" w:hAnsi="Arial" w:cs="Arial"/>
                <w:sz w:val="24"/>
                <w:szCs w:val="24"/>
              </w:rPr>
              <w:t>No EQIA considered necessary</w:t>
            </w:r>
          </w:p>
        </w:tc>
      </w:tr>
    </w:tbl>
    <w:p w:rsidR="00B7521C" w:rsidRDefault="00B7521C">
      <w:pPr>
        <w:rPr>
          <w:rFonts w:ascii="Times New Roman" w:hAnsi="Times New Roman" w:cs="Times New Roman"/>
          <w:sz w:val="28"/>
          <w:szCs w:val="28"/>
          <w:lang w:val="en-GB"/>
        </w:rPr>
      </w:pPr>
    </w:p>
    <w:sectPr w:rsidR="00B7521C" w:rsidSect="00B7521C">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66D" w:rsidRDefault="0082766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82766D" w:rsidRDefault="0082766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66D" w:rsidRDefault="0082766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82766D" w:rsidRDefault="0082766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32B1"/>
    <w:multiLevelType w:val="hybridMultilevel"/>
    <w:tmpl w:val="EBAA9C9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FD384F"/>
    <w:multiLevelType w:val="hybridMultilevel"/>
    <w:tmpl w:val="16BCA0D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09A1839"/>
    <w:multiLevelType w:val="hybridMultilevel"/>
    <w:tmpl w:val="E674AFE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nsid w:val="2B4B226D"/>
    <w:multiLevelType w:val="hybridMultilevel"/>
    <w:tmpl w:val="D8AA7E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nsid w:val="366B7589"/>
    <w:multiLevelType w:val="hybridMultilevel"/>
    <w:tmpl w:val="033437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311E8F"/>
    <w:multiLevelType w:val="hybridMultilevel"/>
    <w:tmpl w:val="1BC47C8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nsid w:val="45A22ADC"/>
    <w:multiLevelType w:val="hybridMultilevel"/>
    <w:tmpl w:val="E08AD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7">
    <w:nsid w:val="47706510"/>
    <w:multiLevelType w:val="hybridMultilevel"/>
    <w:tmpl w:val="A594954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nsid w:val="4FA955A1"/>
    <w:multiLevelType w:val="hybridMultilevel"/>
    <w:tmpl w:val="7EBA09A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nsid w:val="5FB73D81"/>
    <w:multiLevelType w:val="hybridMultilevel"/>
    <w:tmpl w:val="8A62664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nsid w:val="61152A77"/>
    <w:multiLevelType w:val="hybridMultilevel"/>
    <w:tmpl w:val="85C2092E"/>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nsid w:val="6250741D"/>
    <w:multiLevelType w:val="hybridMultilevel"/>
    <w:tmpl w:val="7786E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B6B4728"/>
    <w:multiLevelType w:val="hybridMultilevel"/>
    <w:tmpl w:val="FCF4E382"/>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3">
    <w:nsid w:val="70291D3F"/>
    <w:multiLevelType w:val="hybridMultilevel"/>
    <w:tmpl w:val="6D968A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71615678"/>
    <w:multiLevelType w:val="hybridMultilevel"/>
    <w:tmpl w:val="EB363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7ED032F"/>
    <w:multiLevelType w:val="hybridMultilevel"/>
    <w:tmpl w:val="5D2AB170"/>
    <w:lvl w:ilvl="0" w:tplc="0809000D">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7E2B1A17"/>
    <w:multiLevelType w:val="hybridMultilevel"/>
    <w:tmpl w:val="1902A37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ED33F08"/>
    <w:multiLevelType w:val="hybridMultilevel"/>
    <w:tmpl w:val="68FC12EC"/>
    <w:lvl w:ilvl="0" w:tplc="04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2"/>
  </w:num>
  <w:num w:numId="2">
    <w:abstractNumId w:val="8"/>
  </w:num>
  <w:num w:numId="3">
    <w:abstractNumId w:val="17"/>
  </w:num>
  <w:num w:numId="4">
    <w:abstractNumId w:val="7"/>
  </w:num>
  <w:num w:numId="5">
    <w:abstractNumId w:val="2"/>
  </w:num>
  <w:num w:numId="6">
    <w:abstractNumId w:val="15"/>
  </w:num>
  <w:num w:numId="7">
    <w:abstractNumId w:val="9"/>
  </w:num>
  <w:num w:numId="8">
    <w:abstractNumId w:val="5"/>
  </w:num>
  <w:num w:numId="9">
    <w:abstractNumId w:val="3"/>
  </w:num>
  <w:num w:numId="10">
    <w:abstractNumId w:val="1"/>
  </w:num>
  <w:num w:numId="11">
    <w:abstractNumId w:val="6"/>
  </w:num>
  <w:num w:numId="12">
    <w:abstractNumId w:val="10"/>
  </w:num>
  <w:num w:numId="13">
    <w:abstractNumId w:val="0"/>
  </w:num>
  <w:num w:numId="14">
    <w:abstractNumId w:val="16"/>
  </w:num>
  <w:num w:numId="15">
    <w:abstractNumId w:val="4"/>
  </w:num>
  <w:num w:numId="16">
    <w:abstractNumId w:val="13"/>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1C"/>
    <w:rsid w:val="000F62A6"/>
    <w:rsid w:val="002E0AFD"/>
    <w:rsid w:val="004D0DD5"/>
    <w:rsid w:val="006B7325"/>
    <w:rsid w:val="0072464C"/>
    <w:rsid w:val="0082766D"/>
    <w:rsid w:val="009668F5"/>
    <w:rsid w:val="00B26EB6"/>
    <w:rsid w:val="00B4654E"/>
    <w:rsid w:val="00B7521C"/>
    <w:rsid w:val="00D752A6"/>
    <w:rsid w:val="00ED0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D5"/>
    <w:pPr>
      <w:spacing w:after="200" w:line="276" w:lineRule="auto"/>
    </w:pPr>
    <w:rPr>
      <w:rFonts w:ascii="Calibri" w:hAnsi="Calibri" w:cs="Calibri"/>
      <w:lang w:val="en-US" w:eastAsia="en-US"/>
    </w:rPr>
  </w:style>
  <w:style w:type="paragraph" w:styleId="Heading1">
    <w:name w:val="heading 1"/>
    <w:basedOn w:val="Normal"/>
    <w:next w:val="Normal"/>
    <w:link w:val="Heading1Char"/>
    <w:uiPriority w:val="99"/>
    <w:qFormat/>
    <w:rsid w:val="004D0DD5"/>
    <w:pPr>
      <w:keepNext/>
      <w:spacing w:after="0" w:line="240" w:lineRule="auto"/>
      <w:ind w:left="720"/>
      <w:jc w:val="center"/>
      <w:outlineLvl w:val="0"/>
    </w:pPr>
    <w:rPr>
      <w:rFonts w:ascii="Arial" w:hAnsi="Arial" w:cs="Arial"/>
      <w:noProof/>
      <w:sz w:val="28"/>
      <w:szCs w:val="28"/>
      <w:lang w:val="en-GB" w:eastAsia="en-GB"/>
    </w:rPr>
  </w:style>
  <w:style w:type="paragraph" w:styleId="Heading2">
    <w:name w:val="heading 2"/>
    <w:basedOn w:val="Normal"/>
    <w:next w:val="Normal"/>
    <w:link w:val="Heading2Char"/>
    <w:uiPriority w:val="9"/>
    <w:semiHidden/>
    <w:unhideWhenUsed/>
    <w:qFormat/>
    <w:rsid w:val="008276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7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1C"/>
    <w:rPr>
      <w:rFonts w:asciiTheme="majorHAnsi" w:eastAsiaTheme="majorEastAsia" w:hAnsiTheme="majorHAnsi" w:cstheme="majorBidi"/>
      <w:b/>
      <w:bCs/>
      <w:kern w:val="32"/>
      <w:sz w:val="32"/>
      <w:szCs w:val="32"/>
      <w:lang w:val="en-US" w:eastAsia="en-US"/>
    </w:rPr>
  </w:style>
  <w:style w:type="paragraph" w:styleId="Header">
    <w:name w:val="header"/>
    <w:basedOn w:val="Normal"/>
    <w:link w:val="HeaderChar"/>
    <w:rsid w:val="004D0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DD5"/>
    <w:rPr>
      <w:rFonts w:ascii="Times New Roman" w:hAnsi="Times New Roman" w:cs="Times New Roman"/>
    </w:rPr>
  </w:style>
  <w:style w:type="paragraph" w:styleId="Footer">
    <w:name w:val="footer"/>
    <w:basedOn w:val="Normal"/>
    <w:link w:val="FooterChar"/>
    <w:uiPriority w:val="99"/>
    <w:rsid w:val="004D0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DD5"/>
    <w:rPr>
      <w:rFonts w:ascii="Times New Roman" w:hAnsi="Times New Roman" w:cs="Times New Roman"/>
    </w:rPr>
  </w:style>
  <w:style w:type="paragraph" w:styleId="BalloonText">
    <w:name w:val="Balloon Text"/>
    <w:basedOn w:val="Normal"/>
    <w:link w:val="BalloonTextChar"/>
    <w:uiPriority w:val="99"/>
    <w:rsid w:val="004D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D0DD5"/>
    <w:rPr>
      <w:rFonts w:ascii="Tahoma" w:hAnsi="Tahoma" w:cs="Tahoma"/>
      <w:sz w:val="16"/>
      <w:szCs w:val="16"/>
    </w:rPr>
  </w:style>
  <w:style w:type="paragraph" w:customStyle="1" w:styleId="owapara">
    <w:name w:val="owapara"/>
    <w:basedOn w:val="Normal"/>
    <w:uiPriority w:val="99"/>
    <w:rsid w:val="004D0DD5"/>
    <w:pPr>
      <w:spacing w:after="0" w:line="240" w:lineRule="auto"/>
    </w:pPr>
    <w:rPr>
      <w:sz w:val="24"/>
      <w:szCs w:val="24"/>
    </w:rPr>
  </w:style>
  <w:style w:type="paragraph" w:styleId="BodyText">
    <w:name w:val="Body Text"/>
    <w:basedOn w:val="Normal"/>
    <w:link w:val="BodyTextChar"/>
    <w:uiPriority w:val="99"/>
    <w:rsid w:val="004D0DD5"/>
    <w:pPr>
      <w:spacing w:after="0" w:line="240" w:lineRule="auto"/>
    </w:pPr>
    <w:rPr>
      <w:rFonts w:ascii="Arial" w:hAnsi="Arial" w:cs="Arial"/>
      <w:lang w:val="en-GB"/>
    </w:rPr>
  </w:style>
  <w:style w:type="character" w:customStyle="1" w:styleId="BodyTextChar">
    <w:name w:val="Body Text Char"/>
    <w:basedOn w:val="DefaultParagraphFont"/>
    <w:link w:val="BodyText"/>
    <w:uiPriority w:val="99"/>
    <w:rsid w:val="004D0DD5"/>
    <w:rPr>
      <w:rFonts w:ascii="Calibri" w:hAnsi="Calibri" w:cs="Calibri"/>
      <w:lang w:val="en-US" w:eastAsia="en-US"/>
    </w:rPr>
  </w:style>
  <w:style w:type="character" w:styleId="Hyperlink">
    <w:name w:val="Hyperlink"/>
    <w:basedOn w:val="DefaultParagraphFont"/>
    <w:uiPriority w:val="99"/>
    <w:rsid w:val="004D0DD5"/>
    <w:rPr>
      <w:rFonts w:ascii="Times New Roman" w:hAnsi="Times New Roman" w:cs="Times New Roman"/>
      <w:color w:val="0000FF"/>
      <w:u w:val="single"/>
    </w:rPr>
  </w:style>
  <w:style w:type="paragraph" w:styleId="BodyText2">
    <w:name w:val="Body Text 2"/>
    <w:basedOn w:val="Normal"/>
    <w:link w:val="BodyText2Char"/>
    <w:uiPriority w:val="99"/>
    <w:rsid w:val="004D0DD5"/>
    <w:pPr>
      <w:spacing w:after="120" w:line="480" w:lineRule="auto"/>
    </w:pPr>
  </w:style>
  <w:style w:type="character" w:customStyle="1" w:styleId="BodyText2Char">
    <w:name w:val="Body Text 2 Char"/>
    <w:basedOn w:val="DefaultParagraphFont"/>
    <w:link w:val="BodyText2"/>
    <w:uiPriority w:val="99"/>
    <w:rsid w:val="004D0DD5"/>
    <w:rPr>
      <w:rFonts w:ascii="Calibri" w:hAnsi="Calibri" w:cs="Calibri"/>
      <w:lang w:val="en-US" w:eastAsia="en-US"/>
    </w:rPr>
  </w:style>
  <w:style w:type="paragraph" w:customStyle="1" w:styleId="Default">
    <w:name w:val="Default"/>
    <w:uiPriority w:val="99"/>
    <w:rsid w:val="004D0DD5"/>
    <w:pPr>
      <w:autoSpaceDE w:val="0"/>
      <w:autoSpaceDN w:val="0"/>
      <w:adjustRightInd w:val="0"/>
    </w:pPr>
    <w:rPr>
      <w:rFonts w:ascii="Arial" w:hAnsi="Arial" w:cs="Arial"/>
      <w:color w:val="000000"/>
      <w:sz w:val="24"/>
      <w:szCs w:val="24"/>
    </w:rPr>
  </w:style>
  <w:style w:type="paragraph" w:styleId="NoSpacing">
    <w:name w:val="No Spacing"/>
    <w:qFormat/>
    <w:rsid w:val="004D0DD5"/>
    <w:rPr>
      <w:rFonts w:ascii="Calibri" w:hAnsi="Calibri" w:cs="Calibri"/>
      <w:lang w:eastAsia="en-US"/>
    </w:rPr>
  </w:style>
  <w:style w:type="paragraph" w:styleId="NormalWeb">
    <w:name w:val="Normal (Web)"/>
    <w:basedOn w:val="Normal"/>
    <w:uiPriority w:val="99"/>
    <w:rsid w:val="004D0DD5"/>
    <w:pPr>
      <w:spacing w:before="150" w:after="225" w:line="240" w:lineRule="auto"/>
    </w:pPr>
    <w:rPr>
      <w:rFonts w:cstheme="minorBidi"/>
      <w:sz w:val="24"/>
      <w:szCs w:val="24"/>
      <w:lang w:val="en-GB" w:eastAsia="en-GB"/>
    </w:rPr>
  </w:style>
  <w:style w:type="paragraph" w:styleId="ListParagraph">
    <w:name w:val="List Paragraph"/>
    <w:basedOn w:val="Normal"/>
    <w:uiPriority w:val="34"/>
    <w:qFormat/>
    <w:rsid w:val="00D752A6"/>
    <w:pPr>
      <w:spacing w:after="0" w:line="240" w:lineRule="auto"/>
      <w:ind w:left="720"/>
    </w:pPr>
    <w:rPr>
      <w:rFonts w:eastAsia="Times New Roman" w:cs="Times New Roman"/>
      <w:sz w:val="24"/>
      <w:szCs w:val="24"/>
      <w:lang w:val="en-GB" w:eastAsia="en-GB"/>
    </w:rPr>
  </w:style>
  <w:style w:type="character" w:customStyle="1" w:styleId="Heading2Char">
    <w:name w:val="Heading 2 Char"/>
    <w:basedOn w:val="DefaultParagraphFont"/>
    <w:link w:val="Heading2"/>
    <w:uiPriority w:val="9"/>
    <w:semiHidden/>
    <w:rsid w:val="0082766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82766D"/>
    <w:rPr>
      <w:rFonts w:asciiTheme="majorHAnsi" w:eastAsiaTheme="majorEastAsia" w:hAnsiTheme="majorHAnsi" w:cstheme="majorBidi"/>
      <w:b/>
      <w:bCs/>
      <w:color w:val="4F81BD" w:themeColor="accent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D5"/>
    <w:pPr>
      <w:spacing w:after="200" w:line="276" w:lineRule="auto"/>
    </w:pPr>
    <w:rPr>
      <w:rFonts w:ascii="Calibri" w:hAnsi="Calibri" w:cs="Calibri"/>
      <w:lang w:val="en-US" w:eastAsia="en-US"/>
    </w:rPr>
  </w:style>
  <w:style w:type="paragraph" w:styleId="Heading1">
    <w:name w:val="heading 1"/>
    <w:basedOn w:val="Normal"/>
    <w:next w:val="Normal"/>
    <w:link w:val="Heading1Char"/>
    <w:uiPriority w:val="99"/>
    <w:qFormat/>
    <w:rsid w:val="004D0DD5"/>
    <w:pPr>
      <w:keepNext/>
      <w:spacing w:after="0" w:line="240" w:lineRule="auto"/>
      <w:ind w:left="720"/>
      <w:jc w:val="center"/>
      <w:outlineLvl w:val="0"/>
    </w:pPr>
    <w:rPr>
      <w:rFonts w:ascii="Arial" w:hAnsi="Arial" w:cs="Arial"/>
      <w:noProof/>
      <w:sz w:val="28"/>
      <w:szCs w:val="28"/>
      <w:lang w:val="en-GB" w:eastAsia="en-GB"/>
    </w:rPr>
  </w:style>
  <w:style w:type="paragraph" w:styleId="Heading2">
    <w:name w:val="heading 2"/>
    <w:basedOn w:val="Normal"/>
    <w:next w:val="Normal"/>
    <w:link w:val="Heading2Char"/>
    <w:uiPriority w:val="9"/>
    <w:semiHidden/>
    <w:unhideWhenUsed/>
    <w:qFormat/>
    <w:rsid w:val="008276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7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1C"/>
    <w:rPr>
      <w:rFonts w:asciiTheme="majorHAnsi" w:eastAsiaTheme="majorEastAsia" w:hAnsiTheme="majorHAnsi" w:cstheme="majorBidi"/>
      <w:b/>
      <w:bCs/>
      <w:kern w:val="32"/>
      <w:sz w:val="32"/>
      <w:szCs w:val="32"/>
      <w:lang w:val="en-US" w:eastAsia="en-US"/>
    </w:rPr>
  </w:style>
  <w:style w:type="paragraph" w:styleId="Header">
    <w:name w:val="header"/>
    <w:basedOn w:val="Normal"/>
    <w:link w:val="HeaderChar"/>
    <w:rsid w:val="004D0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DD5"/>
    <w:rPr>
      <w:rFonts w:ascii="Times New Roman" w:hAnsi="Times New Roman" w:cs="Times New Roman"/>
    </w:rPr>
  </w:style>
  <w:style w:type="paragraph" w:styleId="Footer">
    <w:name w:val="footer"/>
    <w:basedOn w:val="Normal"/>
    <w:link w:val="FooterChar"/>
    <w:uiPriority w:val="99"/>
    <w:rsid w:val="004D0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DD5"/>
    <w:rPr>
      <w:rFonts w:ascii="Times New Roman" w:hAnsi="Times New Roman" w:cs="Times New Roman"/>
    </w:rPr>
  </w:style>
  <w:style w:type="paragraph" w:styleId="BalloonText">
    <w:name w:val="Balloon Text"/>
    <w:basedOn w:val="Normal"/>
    <w:link w:val="BalloonTextChar"/>
    <w:uiPriority w:val="99"/>
    <w:rsid w:val="004D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D0DD5"/>
    <w:rPr>
      <w:rFonts w:ascii="Tahoma" w:hAnsi="Tahoma" w:cs="Tahoma"/>
      <w:sz w:val="16"/>
      <w:szCs w:val="16"/>
    </w:rPr>
  </w:style>
  <w:style w:type="paragraph" w:customStyle="1" w:styleId="owapara">
    <w:name w:val="owapara"/>
    <w:basedOn w:val="Normal"/>
    <w:uiPriority w:val="99"/>
    <w:rsid w:val="004D0DD5"/>
    <w:pPr>
      <w:spacing w:after="0" w:line="240" w:lineRule="auto"/>
    </w:pPr>
    <w:rPr>
      <w:sz w:val="24"/>
      <w:szCs w:val="24"/>
    </w:rPr>
  </w:style>
  <w:style w:type="paragraph" w:styleId="BodyText">
    <w:name w:val="Body Text"/>
    <w:basedOn w:val="Normal"/>
    <w:link w:val="BodyTextChar"/>
    <w:uiPriority w:val="99"/>
    <w:rsid w:val="004D0DD5"/>
    <w:pPr>
      <w:spacing w:after="0" w:line="240" w:lineRule="auto"/>
    </w:pPr>
    <w:rPr>
      <w:rFonts w:ascii="Arial" w:hAnsi="Arial" w:cs="Arial"/>
      <w:lang w:val="en-GB"/>
    </w:rPr>
  </w:style>
  <w:style w:type="character" w:customStyle="1" w:styleId="BodyTextChar">
    <w:name w:val="Body Text Char"/>
    <w:basedOn w:val="DefaultParagraphFont"/>
    <w:link w:val="BodyText"/>
    <w:uiPriority w:val="99"/>
    <w:rsid w:val="004D0DD5"/>
    <w:rPr>
      <w:rFonts w:ascii="Calibri" w:hAnsi="Calibri" w:cs="Calibri"/>
      <w:lang w:val="en-US" w:eastAsia="en-US"/>
    </w:rPr>
  </w:style>
  <w:style w:type="character" w:styleId="Hyperlink">
    <w:name w:val="Hyperlink"/>
    <w:basedOn w:val="DefaultParagraphFont"/>
    <w:uiPriority w:val="99"/>
    <w:rsid w:val="004D0DD5"/>
    <w:rPr>
      <w:rFonts w:ascii="Times New Roman" w:hAnsi="Times New Roman" w:cs="Times New Roman"/>
      <w:color w:val="0000FF"/>
      <w:u w:val="single"/>
    </w:rPr>
  </w:style>
  <w:style w:type="paragraph" w:styleId="BodyText2">
    <w:name w:val="Body Text 2"/>
    <w:basedOn w:val="Normal"/>
    <w:link w:val="BodyText2Char"/>
    <w:uiPriority w:val="99"/>
    <w:rsid w:val="004D0DD5"/>
    <w:pPr>
      <w:spacing w:after="120" w:line="480" w:lineRule="auto"/>
    </w:pPr>
  </w:style>
  <w:style w:type="character" w:customStyle="1" w:styleId="BodyText2Char">
    <w:name w:val="Body Text 2 Char"/>
    <w:basedOn w:val="DefaultParagraphFont"/>
    <w:link w:val="BodyText2"/>
    <w:uiPriority w:val="99"/>
    <w:rsid w:val="004D0DD5"/>
    <w:rPr>
      <w:rFonts w:ascii="Calibri" w:hAnsi="Calibri" w:cs="Calibri"/>
      <w:lang w:val="en-US" w:eastAsia="en-US"/>
    </w:rPr>
  </w:style>
  <w:style w:type="paragraph" w:customStyle="1" w:styleId="Default">
    <w:name w:val="Default"/>
    <w:uiPriority w:val="99"/>
    <w:rsid w:val="004D0DD5"/>
    <w:pPr>
      <w:autoSpaceDE w:val="0"/>
      <w:autoSpaceDN w:val="0"/>
      <w:adjustRightInd w:val="0"/>
    </w:pPr>
    <w:rPr>
      <w:rFonts w:ascii="Arial" w:hAnsi="Arial" w:cs="Arial"/>
      <w:color w:val="000000"/>
      <w:sz w:val="24"/>
      <w:szCs w:val="24"/>
    </w:rPr>
  </w:style>
  <w:style w:type="paragraph" w:styleId="NoSpacing">
    <w:name w:val="No Spacing"/>
    <w:qFormat/>
    <w:rsid w:val="004D0DD5"/>
    <w:rPr>
      <w:rFonts w:ascii="Calibri" w:hAnsi="Calibri" w:cs="Calibri"/>
      <w:lang w:eastAsia="en-US"/>
    </w:rPr>
  </w:style>
  <w:style w:type="paragraph" w:styleId="NormalWeb">
    <w:name w:val="Normal (Web)"/>
    <w:basedOn w:val="Normal"/>
    <w:uiPriority w:val="99"/>
    <w:rsid w:val="004D0DD5"/>
    <w:pPr>
      <w:spacing w:before="150" w:after="225" w:line="240" w:lineRule="auto"/>
    </w:pPr>
    <w:rPr>
      <w:rFonts w:cstheme="minorBidi"/>
      <w:sz w:val="24"/>
      <w:szCs w:val="24"/>
      <w:lang w:val="en-GB" w:eastAsia="en-GB"/>
    </w:rPr>
  </w:style>
  <w:style w:type="paragraph" w:styleId="ListParagraph">
    <w:name w:val="List Paragraph"/>
    <w:basedOn w:val="Normal"/>
    <w:uiPriority w:val="34"/>
    <w:qFormat/>
    <w:rsid w:val="00D752A6"/>
    <w:pPr>
      <w:spacing w:after="0" w:line="240" w:lineRule="auto"/>
      <w:ind w:left="720"/>
    </w:pPr>
    <w:rPr>
      <w:rFonts w:eastAsia="Times New Roman" w:cs="Times New Roman"/>
      <w:sz w:val="24"/>
      <w:szCs w:val="24"/>
      <w:lang w:val="en-GB" w:eastAsia="en-GB"/>
    </w:rPr>
  </w:style>
  <w:style w:type="character" w:customStyle="1" w:styleId="Heading2Char">
    <w:name w:val="Heading 2 Char"/>
    <w:basedOn w:val="DefaultParagraphFont"/>
    <w:link w:val="Heading2"/>
    <w:uiPriority w:val="9"/>
    <w:semiHidden/>
    <w:rsid w:val="0082766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82766D"/>
    <w:rPr>
      <w:rFonts w:asciiTheme="majorHAnsi" w:eastAsiaTheme="majorEastAsia" w:hAnsiTheme="majorHAnsi" w:cstheme="majorBidi"/>
      <w:b/>
      <w:bCs/>
      <w:color w:val="4F81BD" w:themeColor="accent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Newry, Mourne and Down District Council Section 75 Policy Screening Report</vt:lpstr>
    </vt:vector>
  </TitlesOfParts>
  <Company>NDBC</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Newry, Mourne and Down District Council Section 75 Policy Screening Report</dc:title>
  <dc:creator>Philip Moffett</dc:creator>
  <cp:lastModifiedBy>Colin Moffett</cp:lastModifiedBy>
  <cp:revision>2</cp:revision>
  <cp:lastPrinted>2015-10-07T07:31:00Z</cp:lastPrinted>
  <dcterms:created xsi:type="dcterms:W3CDTF">2017-01-04T09:31:00Z</dcterms:created>
  <dcterms:modified xsi:type="dcterms:W3CDTF">2017-01-04T09:31:00Z</dcterms:modified>
</cp:coreProperties>
</file>