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B2DF" w14:textId="77777777" w:rsidR="00B7521C" w:rsidRPr="00FC7830" w:rsidRDefault="00B7521C">
      <w:pPr>
        <w:spacing w:after="0" w:line="240" w:lineRule="auto"/>
        <w:ind w:left="720"/>
        <w:jc w:val="center"/>
        <w:rPr>
          <w:rFonts w:ascii="Tahoma" w:hAnsi="Tahoma" w:cs="Tahoma"/>
          <w:b/>
          <w:noProof/>
          <w:sz w:val="24"/>
          <w:szCs w:val="24"/>
          <w:lang w:val="en-GB" w:eastAsia="en-GB"/>
        </w:rPr>
      </w:pPr>
      <w:r w:rsidRPr="00FC7830">
        <w:rPr>
          <w:rFonts w:ascii="Tahoma" w:hAnsi="Tahoma" w:cs="Tahoma"/>
          <w:b/>
          <w:noProof/>
          <w:sz w:val="24"/>
          <w:szCs w:val="24"/>
          <w:lang w:val="en-GB" w:eastAsia="en-GB"/>
        </w:rPr>
        <w:t xml:space="preserve">Newry, Mourne and Down District Council Section 75 Policy Screening Report </w:t>
      </w:r>
    </w:p>
    <w:p w14:paraId="2675CDA9" w14:textId="3E46EB14" w:rsidR="00B7521C" w:rsidRPr="00FC7830" w:rsidRDefault="00B7521C">
      <w:pPr>
        <w:pStyle w:val="Heading1"/>
        <w:rPr>
          <w:rFonts w:ascii="Tahoma" w:hAnsi="Tahoma" w:cs="Tahoma"/>
          <w:b/>
          <w:sz w:val="24"/>
          <w:szCs w:val="24"/>
        </w:rPr>
      </w:pPr>
      <w:r w:rsidRPr="00FC7830">
        <w:rPr>
          <w:rFonts w:ascii="Tahoma" w:hAnsi="Tahoma" w:cs="Tahoma"/>
          <w:b/>
          <w:sz w:val="24"/>
          <w:szCs w:val="24"/>
        </w:rPr>
        <w:t xml:space="preserve">Quarterly Report </w:t>
      </w:r>
      <w:r w:rsidR="0087377D">
        <w:rPr>
          <w:rFonts w:ascii="Tahoma" w:hAnsi="Tahoma" w:cs="Tahoma"/>
          <w:b/>
          <w:bCs/>
          <w:sz w:val="24"/>
          <w:szCs w:val="24"/>
        </w:rPr>
        <w:t>January – March 2023</w:t>
      </w:r>
    </w:p>
    <w:p w14:paraId="105F8C29" w14:textId="77777777" w:rsidR="009004A6" w:rsidRPr="00FC7830" w:rsidRDefault="009004A6" w:rsidP="007E74BA">
      <w:pPr>
        <w:spacing w:after="0" w:line="240" w:lineRule="auto"/>
        <w:jc w:val="center"/>
        <w:rPr>
          <w:rFonts w:ascii="Tahoma" w:hAnsi="Tahoma" w:cs="Tahoma"/>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534"/>
        <w:gridCol w:w="1672"/>
      </w:tblGrid>
      <w:tr w:rsidR="008612B4" w:rsidRPr="004559A4" w14:paraId="7D286545" w14:textId="77777777" w:rsidTr="00781C5B">
        <w:tc>
          <w:tcPr>
            <w:tcW w:w="2624" w:type="dxa"/>
          </w:tcPr>
          <w:p w14:paraId="3C90CA7A"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Policy</w:t>
            </w:r>
          </w:p>
        </w:tc>
        <w:tc>
          <w:tcPr>
            <w:tcW w:w="8534" w:type="dxa"/>
          </w:tcPr>
          <w:p w14:paraId="19B46C09"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Details of policy</w:t>
            </w:r>
          </w:p>
        </w:tc>
        <w:tc>
          <w:tcPr>
            <w:tcW w:w="1672" w:type="dxa"/>
          </w:tcPr>
          <w:p w14:paraId="39A15436"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Screening Outcome</w:t>
            </w:r>
          </w:p>
        </w:tc>
      </w:tr>
      <w:tr w:rsidR="008612B4" w:rsidRPr="004559A4" w14:paraId="1AE4894D" w14:textId="77777777" w:rsidTr="00781C5B">
        <w:tc>
          <w:tcPr>
            <w:tcW w:w="2624" w:type="dxa"/>
          </w:tcPr>
          <w:p w14:paraId="11C1F71D" w14:textId="0FBA8954" w:rsidR="00E81D39" w:rsidRPr="004559A4" w:rsidRDefault="0087377D" w:rsidP="00781C5B">
            <w:pPr>
              <w:spacing w:after="0" w:line="240" w:lineRule="auto"/>
              <w:rPr>
                <w:rFonts w:ascii="Tahoma" w:hAnsi="Tahoma" w:cs="Tahoma"/>
                <w:bCs/>
                <w:sz w:val="24"/>
                <w:szCs w:val="24"/>
              </w:rPr>
            </w:pPr>
            <w:r w:rsidRPr="003B37D0">
              <w:rPr>
                <w:rFonts w:ascii="Tahoma" w:hAnsi="Tahoma" w:cs="Tahoma"/>
                <w:bCs/>
                <w:sz w:val="24"/>
                <w:szCs w:val="24"/>
              </w:rPr>
              <w:t>Newry, Mourne and Down District Council</w:t>
            </w:r>
            <w:r>
              <w:rPr>
                <w:rFonts w:ascii="Tahoma" w:hAnsi="Tahoma" w:cs="Tahoma"/>
                <w:bCs/>
                <w:sz w:val="24"/>
                <w:szCs w:val="24"/>
              </w:rPr>
              <w:t>’s draft</w:t>
            </w:r>
            <w:r w:rsidRPr="003B37D0">
              <w:rPr>
                <w:rFonts w:ascii="Tahoma" w:hAnsi="Tahoma" w:cs="Tahoma"/>
                <w:bCs/>
                <w:sz w:val="24"/>
                <w:szCs w:val="24"/>
              </w:rPr>
              <w:t xml:space="preserve"> Performance Improvement </w:t>
            </w:r>
            <w:r>
              <w:rPr>
                <w:rFonts w:ascii="Tahoma" w:hAnsi="Tahoma" w:cs="Tahoma"/>
                <w:bCs/>
                <w:sz w:val="24"/>
                <w:szCs w:val="24"/>
              </w:rPr>
              <w:t>Objectives 2023-24</w:t>
            </w:r>
          </w:p>
        </w:tc>
        <w:tc>
          <w:tcPr>
            <w:tcW w:w="8534" w:type="dxa"/>
          </w:tcPr>
          <w:p w14:paraId="4E61C8C1" w14:textId="77777777" w:rsidR="0087377D" w:rsidRPr="0087377D" w:rsidRDefault="0087377D" w:rsidP="0087377D">
            <w:pPr>
              <w:tabs>
                <w:tab w:val="left" w:pos="720"/>
                <w:tab w:val="left" w:pos="2700"/>
              </w:tabs>
              <w:overflowPunct w:val="0"/>
              <w:autoSpaceDE w:val="0"/>
              <w:autoSpaceDN w:val="0"/>
              <w:adjustRightInd w:val="0"/>
              <w:spacing w:after="0" w:line="240" w:lineRule="auto"/>
              <w:ind w:right="-25"/>
              <w:textAlignment w:val="baseline"/>
              <w:rPr>
                <w:rFonts w:ascii="Tahoma" w:eastAsia="Times New Roman" w:hAnsi="Tahoma" w:cs="Tahoma"/>
                <w:color w:val="000000"/>
                <w:sz w:val="24"/>
                <w:szCs w:val="24"/>
                <w:lang w:val="en-GB" w:eastAsia="en-GB"/>
              </w:rPr>
            </w:pPr>
            <w:r w:rsidRPr="0087377D">
              <w:rPr>
                <w:rFonts w:ascii="Tahoma" w:eastAsia="Times New Roman" w:hAnsi="Tahoma" w:cs="Tahoma"/>
                <w:sz w:val="24"/>
                <w:szCs w:val="24"/>
                <w:lang w:val="en-GB" w:eastAsia="en-GB"/>
              </w:rPr>
              <w:t xml:space="preserve">The following five </w:t>
            </w:r>
            <w:r w:rsidRPr="0087377D">
              <w:rPr>
                <w:rFonts w:ascii="Tahoma" w:eastAsia="Times New Roman" w:hAnsi="Tahoma" w:cs="Tahoma"/>
                <w:color w:val="000000"/>
                <w:sz w:val="24"/>
                <w:szCs w:val="24"/>
                <w:lang w:val="en-GB" w:eastAsia="en-GB"/>
              </w:rPr>
              <w:t xml:space="preserve">performance improvement objectives have been developed, all of which are clearly linked to the Community Plan and Corporate Plan 2021-23. </w:t>
            </w:r>
          </w:p>
          <w:p w14:paraId="185F77FF" w14:textId="77777777" w:rsidR="0087377D" w:rsidRPr="0087377D" w:rsidRDefault="0087377D" w:rsidP="0087377D">
            <w:pPr>
              <w:autoSpaceDE w:val="0"/>
              <w:autoSpaceDN w:val="0"/>
              <w:adjustRightInd w:val="0"/>
              <w:spacing w:after="0" w:line="240" w:lineRule="auto"/>
              <w:rPr>
                <w:rFonts w:ascii="Tahoma" w:eastAsia="Times New Roman" w:hAnsi="Tahoma" w:cs="Tahoma"/>
                <w:color w:val="000000"/>
                <w:sz w:val="24"/>
                <w:szCs w:val="24"/>
                <w:lang w:val="en-GB" w:eastAsia="en-GB"/>
              </w:rPr>
            </w:pPr>
          </w:p>
          <w:p w14:paraId="218B29FC" w14:textId="77777777" w:rsidR="0087377D" w:rsidRPr="0087377D" w:rsidRDefault="0087377D" w:rsidP="0087377D">
            <w:pPr>
              <w:numPr>
                <w:ilvl w:val="0"/>
                <w:numId w:val="17"/>
              </w:numPr>
              <w:spacing w:after="0" w:line="240" w:lineRule="auto"/>
              <w:contextualSpacing/>
              <w:rPr>
                <w:rFonts w:ascii="Tahoma" w:eastAsia="Times New Roman" w:hAnsi="Tahoma" w:cs="Tahoma"/>
                <w:sz w:val="24"/>
                <w:szCs w:val="24"/>
                <w:lang w:eastAsia="en-GB"/>
              </w:rPr>
            </w:pPr>
            <w:r w:rsidRPr="0087377D">
              <w:rPr>
                <w:rFonts w:ascii="Tahoma" w:eastAsia="Times New Roman" w:hAnsi="Tahoma" w:cs="Tahoma"/>
                <w:sz w:val="24"/>
                <w:szCs w:val="24"/>
                <w:lang w:eastAsia="en-GB"/>
              </w:rPr>
              <w:t xml:space="preserve">We will support the health and wellbeing of local people by improving our leisure facilities and </w:t>
            </w:r>
            <w:proofErr w:type="gramStart"/>
            <w:r w:rsidRPr="0087377D">
              <w:rPr>
                <w:rFonts w:ascii="Tahoma" w:eastAsia="Times New Roman" w:hAnsi="Tahoma" w:cs="Tahoma"/>
                <w:sz w:val="24"/>
                <w:szCs w:val="24"/>
                <w:lang w:eastAsia="en-GB"/>
              </w:rPr>
              <w:t>services</w:t>
            </w:r>
            <w:proofErr w:type="gramEnd"/>
          </w:p>
          <w:p w14:paraId="72D672CC" w14:textId="77777777" w:rsidR="0087377D" w:rsidRPr="0087377D" w:rsidRDefault="0087377D" w:rsidP="0087377D">
            <w:pPr>
              <w:numPr>
                <w:ilvl w:val="0"/>
                <w:numId w:val="17"/>
              </w:numPr>
              <w:spacing w:after="0" w:line="240" w:lineRule="auto"/>
              <w:contextualSpacing/>
              <w:rPr>
                <w:rFonts w:ascii="Tahoma" w:eastAsia="Times New Roman" w:hAnsi="Tahoma" w:cs="Tahoma"/>
                <w:sz w:val="24"/>
                <w:szCs w:val="24"/>
                <w:lang w:eastAsia="en-GB"/>
              </w:rPr>
            </w:pPr>
            <w:r w:rsidRPr="0087377D">
              <w:rPr>
                <w:rFonts w:ascii="Tahoma" w:eastAsia="Times New Roman" w:hAnsi="Tahoma" w:cs="Tahoma"/>
                <w:sz w:val="24"/>
                <w:szCs w:val="24"/>
                <w:lang w:eastAsia="en-GB"/>
              </w:rPr>
              <w:t xml:space="preserve">We will grow the economy by supporting local businesses and creating new </w:t>
            </w:r>
            <w:proofErr w:type="gramStart"/>
            <w:r w:rsidRPr="0087377D">
              <w:rPr>
                <w:rFonts w:ascii="Tahoma" w:eastAsia="Times New Roman" w:hAnsi="Tahoma" w:cs="Tahoma"/>
                <w:sz w:val="24"/>
                <w:szCs w:val="24"/>
                <w:lang w:eastAsia="en-GB"/>
              </w:rPr>
              <w:t>jobs</w:t>
            </w:r>
            <w:proofErr w:type="gramEnd"/>
          </w:p>
          <w:p w14:paraId="27FEFC8A" w14:textId="77777777" w:rsidR="0087377D" w:rsidRPr="0087377D" w:rsidRDefault="0087377D" w:rsidP="0087377D">
            <w:pPr>
              <w:numPr>
                <w:ilvl w:val="0"/>
                <w:numId w:val="17"/>
              </w:numPr>
              <w:spacing w:after="0" w:line="240" w:lineRule="auto"/>
              <w:contextualSpacing/>
              <w:rPr>
                <w:rFonts w:ascii="Tahoma" w:eastAsia="Times New Roman" w:hAnsi="Tahoma" w:cs="Tahoma"/>
                <w:sz w:val="24"/>
                <w:szCs w:val="24"/>
                <w:lang w:eastAsia="en-GB"/>
              </w:rPr>
            </w:pPr>
            <w:r w:rsidRPr="0087377D">
              <w:rPr>
                <w:rFonts w:ascii="Tahoma" w:eastAsia="Times New Roman" w:hAnsi="Tahoma" w:cs="Tahoma"/>
                <w:sz w:val="24"/>
                <w:szCs w:val="24"/>
                <w:lang w:eastAsia="en-GB"/>
              </w:rPr>
              <w:t xml:space="preserve">We will improve the cleanliness of our District by addressing littering, fly tipping and dog fouling </w:t>
            </w:r>
            <w:proofErr w:type="gramStart"/>
            <w:r w:rsidRPr="0087377D">
              <w:rPr>
                <w:rFonts w:ascii="Tahoma" w:eastAsia="Times New Roman" w:hAnsi="Tahoma" w:cs="Tahoma"/>
                <w:sz w:val="24"/>
                <w:szCs w:val="24"/>
                <w:lang w:eastAsia="en-GB"/>
              </w:rPr>
              <w:t>incidents</w:t>
            </w:r>
            <w:proofErr w:type="gramEnd"/>
          </w:p>
          <w:p w14:paraId="7C2AFA7E" w14:textId="77777777" w:rsidR="0087377D" w:rsidRPr="0087377D" w:rsidRDefault="0087377D" w:rsidP="0087377D">
            <w:pPr>
              <w:numPr>
                <w:ilvl w:val="0"/>
                <w:numId w:val="17"/>
              </w:numPr>
              <w:spacing w:after="0" w:line="240" w:lineRule="auto"/>
              <w:contextualSpacing/>
              <w:rPr>
                <w:rFonts w:ascii="Tahoma" w:eastAsia="Times New Roman" w:hAnsi="Tahoma" w:cs="Tahoma"/>
                <w:sz w:val="24"/>
                <w:szCs w:val="24"/>
                <w:lang w:eastAsia="en-GB"/>
              </w:rPr>
            </w:pPr>
            <w:r w:rsidRPr="0087377D">
              <w:rPr>
                <w:rFonts w:ascii="Tahoma" w:eastAsia="Times New Roman" w:hAnsi="Tahoma" w:cs="Tahoma"/>
                <w:sz w:val="24"/>
                <w:szCs w:val="24"/>
                <w:lang w:eastAsia="en-GB"/>
              </w:rPr>
              <w:t xml:space="preserve">We will improve our sustainability and reduce our impacts in relation to climate </w:t>
            </w:r>
            <w:proofErr w:type="gramStart"/>
            <w:r w:rsidRPr="0087377D">
              <w:rPr>
                <w:rFonts w:ascii="Tahoma" w:eastAsia="Times New Roman" w:hAnsi="Tahoma" w:cs="Tahoma"/>
                <w:sz w:val="24"/>
                <w:szCs w:val="24"/>
                <w:lang w:eastAsia="en-GB"/>
              </w:rPr>
              <w:t>change</w:t>
            </w:r>
            <w:proofErr w:type="gramEnd"/>
          </w:p>
          <w:p w14:paraId="17D8B51A" w14:textId="77777777" w:rsidR="0087377D" w:rsidRPr="0087377D" w:rsidRDefault="0087377D" w:rsidP="0087377D">
            <w:pPr>
              <w:numPr>
                <w:ilvl w:val="0"/>
                <w:numId w:val="17"/>
              </w:numPr>
              <w:spacing w:after="0" w:line="240" w:lineRule="auto"/>
              <w:contextualSpacing/>
              <w:rPr>
                <w:rFonts w:ascii="Tahoma" w:eastAsia="Times New Roman" w:hAnsi="Tahoma" w:cs="Tahoma"/>
                <w:sz w:val="24"/>
                <w:szCs w:val="24"/>
                <w:lang w:eastAsia="en-GB"/>
              </w:rPr>
            </w:pPr>
            <w:r w:rsidRPr="0087377D">
              <w:rPr>
                <w:rFonts w:ascii="Tahoma" w:eastAsia="Times New Roman" w:hAnsi="Tahoma" w:cs="Tahoma"/>
                <w:sz w:val="24"/>
                <w:szCs w:val="24"/>
                <w:lang w:eastAsia="en-GB"/>
              </w:rPr>
              <w:t xml:space="preserve">We will improve the processing times of planning applications and enforcement cases by implementing the Planning Service Improvement </w:t>
            </w:r>
            <w:proofErr w:type="spellStart"/>
            <w:r w:rsidRPr="0087377D">
              <w:rPr>
                <w:rFonts w:ascii="Tahoma" w:eastAsia="Times New Roman" w:hAnsi="Tahoma" w:cs="Tahoma"/>
                <w:sz w:val="24"/>
                <w:szCs w:val="24"/>
                <w:lang w:eastAsia="en-GB"/>
              </w:rPr>
              <w:t>Programme</w:t>
            </w:r>
            <w:proofErr w:type="spellEnd"/>
          </w:p>
          <w:p w14:paraId="300ED6DB" w14:textId="41C2D1E4" w:rsidR="00317E3F" w:rsidRPr="004559A4" w:rsidRDefault="00317E3F" w:rsidP="00781C5B">
            <w:pPr>
              <w:spacing w:after="0" w:line="240" w:lineRule="auto"/>
              <w:rPr>
                <w:rFonts w:ascii="Tahoma" w:hAnsi="Tahoma" w:cs="Tahoma"/>
                <w:bCs/>
                <w:sz w:val="24"/>
                <w:szCs w:val="24"/>
              </w:rPr>
            </w:pPr>
          </w:p>
        </w:tc>
        <w:tc>
          <w:tcPr>
            <w:tcW w:w="1672" w:type="dxa"/>
          </w:tcPr>
          <w:p w14:paraId="445563DA" w14:textId="77777777" w:rsidR="008612B4" w:rsidRPr="004559A4" w:rsidRDefault="008612B4"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781C5B" w:rsidRPr="004559A4" w14:paraId="5FC51992" w14:textId="77777777" w:rsidTr="00781C5B">
        <w:tc>
          <w:tcPr>
            <w:tcW w:w="2624" w:type="dxa"/>
          </w:tcPr>
          <w:p w14:paraId="5B99875F" w14:textId="1414A447" w:rsidR="00781C5B" w:rsidRPr="004559A4" w:rsidRDefault="0087377D" w:rsidP="00781C5B">
            <w:pPr>
              <w:spacing w:after="0" w:line="240" w:lineRule="auto"/>
              <w:rPr>
                <w:rFonts w:ascii="Tahoma" w:hAnsi="Tahoma" w:cs="Tahoma"/>
                <w:bCs/>
                <w:sz w:val="24"/>
                <w:szCs w:val="24"/>
              </w:rPr>
            </w:pPr>
            <w:r w:rsidRPr="0087377D">
              <w:rPr>
                <w:rFonts w:ascii="Tahoma" w:hAnsi="Tahoma" w:cs="Tahoma"/>
                <w:bCs/>
                <w:sz w:val="24"/>
                <w:szCs w:val="24"/>
                <w:lang w:val="en-GB"/>
              </w:rPr>
              <w:t xml:space="preserve">Proposal to increase the number of car parks with tariffs and / or time restriction  </w:t>
            </w:r>
          </w:p>
        </w:tc>
        <w:tc>
          <w:tcPr>
            <w:tcW w:w="8534" w:type="dxa"/>
          </w:tcPr>
          <w:p w14:paraId="14630578" w14:textId="77777777" w:rsidR="00781C5B" w:rsidRDefault="0087377D" w:rsidP="00781C5B">
            <w:pPr>
              <w:spacing w:after="0" w:line="240" w:lineRule="auto"/>
              <w:rPr>
                <w:rFonts w:ascii="Tahoma" w:eastAsia="Times New Roman" w:hAnsi="Tahoma" w:cs="Tahoma"/>
                <w:sz w:val="24"/>
                <w:szCs w:val="24"/>
                <w:lang w:val="en-GB" w:eastAsia="en-GB"/>
              </w:rPr>
            </w:pPr>
            <w:r w:rsidRPr="0087377D">
              <w:rPr>
                <w:rFonts w:ascii="Tahoma" w:eastAsia="Times New Roman" w:hAnsi="Tahoma" w:cs="Tahoma"/>
                <w:sz w:val="24"/>
                <w:szCs w:val="24"/>
                <w:lang w:val="en-GB" w:eastAsia="en-GB"/>
              </w:rPr>
              <w:t xml:space="preserve">Following a review of car parking, in response to increased costs and matters regarding traffic management, including those related to enforcement, consideration is being given to increasing the number of car parks at which there is a parking tariff and / or a time restriction.  </w:t>
            </w:r>
          </w:p>
          <w:p w14:paraId="2BEB277F" w14:textId="11FC3AA8" w:rsidR="0087377D" w:rsidRPr="004559A4" w:rsidRDefault="0087377D" w:rsidP="00781C5B">
            <w:pPr>
              <w:spacing w:after="0" w:line="240" w:lineRule="auto"/>
              <w:rPr>
                <w:rFonts w:ascii="Tahoma" w:hAnsi="Tahoma" w:cs="Tahoma"/>
                <w:sz w:val="24"/>
                <w:szCs w:val="24"/>
              </w:rPr>
            </w:pPr>
          </w:p>
        </w:tc>
        <w:tc>
          <w:tcPr>
            <w:tcW w:w="1672" w:type="dxa"/>
          </w:tcPr>
          <w:p w14:paraId="775700C2" w14:textId="2610A801" w:rsidR="00781C5B" w:rsidRPr="004559A4" w:rsidRDefault="00781C5B"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4559A4" w:rsidRPr="004559A4" w14:paraId="4FA17E6D" w14:textId="77777777" w:rsidTr="00781C5B">
        <w:tc>
          <w:tcPr>
            <w:tcW w:w="2624" w:type="dxa"/>
          </w:tcPr>
          <w:p w14:paraId="54E970B7" w14:textId="1C20A2F7" w:rsidR="004559A4" w:rsidRPr="004559A4" w:rsidRDefault="0087377D" w:rsidP="00781C5B">
            <w:pPr>
              <w:spacing w:after="0" w:line="240" w:lineRule="auto"/>
              <w:rPr>
                <w:rFonts w:ascii="Tahoma" w:hAnsi="Tahoma" w:cs="Tahoma"/>
                <w:bCs/>
                <w:sz w:val="24"/>
                <w:szCs w:val="24"/>
              </w:rPr>
            </w:pPr>
            <w:r w:rsidRPr="0087377D">
              <w:rPr>
                <w:rFonts w:ascii="Tahoma" w:hAnsi="Tahoma" w:cs="Tahoma"/>
                <w:bCs/>
                <w:sz w:val="24"/>
                <w:szCs w:val="24"/>
              </w:rPr>
              <w:t xml:space="preserve">Review of car parking tariffs </w:t>
            </w:r>
          </w:p>
        </w:tc>
        <w:tc>
          <w:tcPr>
            <w:tcW w:w="8534" w:type="dxa"/>
          </w:tcPr>
          <w:p w14:paraId="3337285D" w14:textId="77777777" w:rsidR="004559A4" w:rsidRDefault="0087377D" w:rsidP="004559A4">
            <w:pPr>
              <w:spacing w:after="0" w:line="240" w:lineRule="auto"/>
              <w:rPr>
                <w:rFonts w:ascii="Tahoma" w:eastAsia="Times New Roman" w:hAnsi="Tahoma" w:cs="Tahoma"/>
                <w:sz w:val="24"/>
                <w:szCs w:val="24"/>
                <w:lang w:val="en-GB" w:eastAsia="en-GB"/>
              </w:rPr>
            </w:pPr>
            <w:r w:rsidRPr="0087377D">
              <w:rPr>
                <w:rFonts w:ascii="Tahoma" w:eastAsia="Times New Roman" w:hAnsi="Tahoma" w:cs="Tahoma"/>
                <w:sz w:val="24"/>
                <w:szCs w:val="24"/>
                <w:lang w:val="en-GB" w:eastAsia="en-GB"/>
              </w:rPr>
              <w:t xml:space="preserve">Following a review of car parking tariffs, in response to increased costs including those related to enforcement, consideration is being given to a proposal that the tariff be increased from 40p/hour to either 50p or 60p per hour. </w:t>
            </w:r>
          </w:p>
          <w:p w14:paraId="1A95F426" w14:textId="2501055B" w:rsidR="0087377D" w:rsidRPr="004559A4" w:rsidRDefault="0087377D" w:rsidP="004559A4">
            <w:pPr>
              <w:spacing w:after="0" w:line="240" w:lineRule="auto"/>
              <w:rPr>
                <w:rFonts w:ascii="Tahoma" w:eastAsia="Times New Roman" w:hAnsi="Tahoma" w:cs="Tahoma"/>
                <w:sz w:val="24"/>
                <w:szCs w:val="24"/>
                <w:lang w:val="en-GB" w:eastAsia="en-GB"/>
              </w:rPr>
            </w:pPr>
          </w:p>
        </w:tc>
        <w:tc>
          <w:tcPr>
            <w:tcW w:w="1672" w:type="dxa"/>
          </w:tcPr>
          <w:p w14:paraId="05C41D37" w14:textId="6629FC1D" w:rsidR="004559A4" w:rsidRPr="004559A4" w:rsidRDefault="00EF58A2"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4559A4" w:rsidRPr="004559A4" w14:paraId="72FE87DB" w14:textId="77777777" w:rsidTr="00781C5B">
        <w:tc>
          <w:tcPr>
            <w:tcW w:w="2624" w:type="dxa"/>
          </w:tcPr>
          <w:p w14:paraId="7BDAFD46" w14:textId="0309AB65" w:rsidR="004559A4" w:rsidRPr="004559A4" w:rsidRDefault="0087377D" w:rsidP="00781C5B">
            <w:pPr>
              <w:spacing w:after="0" w:line="240" w:lineRule="auto"/>
              <w:rPr>
                <w:rFonts w:ascii="Tahoma" w:hAnsi="Tahoma" w:cs="Tahoma"/>
                <w:bCs/>
                <w:sz w:val="24"/>
                <w:szCs w:val="24"/>
              </w:rPr>
            </w:pPr>
            <w:r>
              <w:rPr>
                <w:rFonts w:ascii="Tahoma" w:hAnsi="Tahoma" w:cs="Tahoma"/>
                <w:bCs/>
                <w:sz w:val="24"/>
                <w:szCs w:val="24"/>
              </w:rPr>
              <w:lastRenderedPageBreak/>
              <w:t>Menopause within the workplace</w:t>
            </w:r>
          </w:p>
        </w:tc>
        <w:tc>
          <w:tcPr>
            <w:tcW w:w="8534" w:type="dxa"/>
          </w:tcPr>
          <w:p w14:paraId="7AFC7B9C" w14:textId="77777777" w:rsidR="004559A4" w:rsidRDefault="0087377D" w:rsidP="004559A4">
            <w:pPr>
              <w:spacing w:after="0" w:line="240" w:lineRule="auto"/>
              <w:rPr>
                <w:rFonts w:ascii="Tahoma" w:eastAsia="Times New Roman" w:hAnsi="Tahoma" w:cs="Tahoma"/>
                <w:sz w:val="24"/>
                <w:szCs w:val="24"/>
                <w:lang w:val="en-GB" w:eastAsia="en-GB"/>
              </w:rPr>
            </w:pPr>
            <w:r>
              <w:rPr>
                <w:rFonts w:ascii="Tahoma" w:eastAsia="Times New Roman" w:hAnsi="Tahoma" w:cs="Tahoma"/>
                <w:sz w:val="24"/>
                <w:szCs w:val="24"/>
                <w:lang w:val="en-GB" w:eastAsia="en-GB"/>
              </w:rPr>
              <w:t>This guidance is aimed to support all employees working for the Council who may experience menopause-type symptoms.</w:t>
            </w:r>
          </w:p>
          <w:p w14:paraId="1B96A031" w14:textId="77777777" w:rsidR="0087377D" w:rsidRDefault="0087377D" w:rsidP="004559A4">
            <w:pPr>
              <w:spacing w:after="0" w:line="240" w:lineRule="auto"/>
              <w:rPr>
                <w:rFonts w:ascii="Tahoma" w:eastAsia="Times New Roman" w:hAnsi="Tahoma" w:cs="Tahoma"/>
                <w:sz w:val="24"/>
                <w:szCs w:val="24"/>
                <w:lang w:val="en-GB" w:eastAsia="en-GB"/>
              </w:rPr>
            </w:pPr>
          </w:p>
          <w:p w14:paraId="76A84D33" w14:textId="77777777" w:rsidR="0087377D" w:rsidRDefault="0087377D" w:rsidP="004559A4">
            <w:pPr>
              <w:spacing w:after="0" w:line="240" w:lineRule="auto"/>
              <w:rPr>
                <w:rFonts w:ascii="Tahoma" w:eastAsia="Times New Roman" w:hAnsi="Tahoma" w:cs="Tahoma"/>
                <w:sz w:val="24"/>
                <w:szCs w:val="24"/>
                <w:lang w:val="en-GB" w:eastAsia="en-GB"/>
              </w:rPr>
            </w:pPr>
            <w:r>
              <w:rPr>
                <w:rFonts w:ascii="Tahoma" w:eastAsia="Times New Roman" w:hAnsi="Tahoma" w:cs="Tahoma"/>
                <w:sz w:val="24"/>
                <w:szCs w:val="24"/>
                <w:lang w:val="en-GB" w:eastAsia="en-GB"/>
              </w:rPr>
              <w:t>It is intended to raise awareness of menopause while also providing guidance for line managers and employees on how to access support/resources and reasonable adjustments.</w:t>
            </w:r>
          </w:p>
          <w:p w14:paraId="1B335583" w14:textId="103FB24F" w:rsidR="0087377D" w:rsidRPr="004559A4" w:rsidRDefault="0087377D" w:rsidP="004559A4">
            <w:pPr>
              <w:spacing w:after="0" w:line="240" w:lineRule="auto"/>
              <w:rPr>
                <w:rFonts w:ascii="Tahoma" w:eastAsia="Times New Roman" w:hAnsi="Tahoma" w:cs="Tahoma"/>
                <w:sz w:val="24"/>
                <w:szCs w:val="24"/>
                <w:lang w:val="en-GB" w:eastAsia="en-GB"/>
              </w:rPr>
            </w:pPr>
          </w:p>
        </w:tc>
        <w:tc>
          <w:tcPr>
            <w:tcW w:w="1672" w:type="dxa"/>
          </w:tcPr>
          <w:p w14:paraId="1B645430" w14:textId="73B9DBF8" w:rsidR="004559A4" w:rsidRPr="004559A4" w:rsidRDefault="00EF58A2"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bl>
    <w:p w14:paraId="1D06AA31" w14:textId="77777777" w:rsidR="00B7521C" w:rsidRPr="00081555" w:rsidRDefault="00B7521C" w:rsidP="00E81D39">
      <w:pPr>
        <w:rPr>
          <w:rFonts w:ascii="Arial" w:hAnsi="Arial" w:cs="Arial"/>
          <w:sz w:val="24"/>
          <w:szCs w:val="24"/>
          <w:lang w:val="en-GB"/>
        </w:rPr>
      </w:pPr>
    </w:p>
    <w:sectPr w:rsidR="00B7521C" w:rsidRPr="00081555"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1733"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9FDD6E0"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D7F"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015019B"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2ED"/>
    <w:multiLevelType w:val="hybridMultilevel"/>
    <w:tmpl w:val="5FFEE922"/>
    <w:lvl w:ilvl="0" w:tplc="410AA4E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94EC1"/>
    <w:multiLevelType w:val="hybridMultilevel"/>
    <w:tmpl w:val="A3F4716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 w15:restartNumberingAfterBreak="0">
    <w:nsid w:val="1061174E"/>
    <w:multiLevelType w:val="hybridMultilevel"/>
    <w:tmpl w:val="7EB6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93E68"/>
    <w:multiLevelType w:val="hybridMultilevel"/>
    <w:tmpl w:val="DA9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9BA"/>
    <w:multiLevelType w:val="hybridMultilevel"/>
    <w:tmpl w:val="BC58FD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15347"/>
    <w:multiLevelType w:val="hybridMultilevel"/>
    <w:tmpl w:val="442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01A2D"/>
    <w:multiLevelType w:val="hybridMultilevel"/>
    <w:tmpl w:val="BB8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50E7C"/>
    <w:multiLevelType w:val="hybridMultilevel"/>
    <w:tmpl w:val="C90EDB18"/>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5794E"/>
    <w:multiLevelType w:val="hybridMultilevel"/>
    <w:tmpl w:val="E5A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40C75"/>
    <w:multiLevelType w:val="hybridMultilevel"/>
    <w:tmpl w:val="3E58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C37765"/>
    <w:multiLevelType w:val="hybridMultilevel"/>
    <w:tmpl w:val="6506075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1" w15:restartNumberingAfterBreak="0">
    <w:nsid w:val="621D4D0C"/>
    <w:multiLevelType w:val="hybridMultilevel"/>
    <w:tmpl w:val="333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875E2"/>
    <w:multiLevelType w:val="hybridMultilevel"/>
    <w:tmpl w:val="0AE0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DC6D66"/>
    <w:multiLevelType w:val="hybridMultilevel"/>
    <w:tmpl w:val="4306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94417"/>
    <w:multiLevelType w:val="hybridMultilevel"/>
    <w:tmpl w:val="EDD2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1A4A99"/>
    <w:multiLevelType w:val="hybridMultilevel"/>
    <w:tmpl w:val="69C07766"/>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B6FDC"/>
    <w:multiLevelType w:val="hybridMultilevel"/>
    <w:tmpl w:val="58F41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13872">
    <w:abstractNumId w:val="2"/>
  </w:num>
  <w:num w:numId="2" w16cid:durableId="1287269857">
    <w:abstractNumId w:val="6"/>
  </w:num>
  <w:num w:numId="3" w16cid:durableId="565532863">
    <w:abstractNumId w:val="13"/>
  </w:num>
  <w:num w:numId="4" w16cid:durableId="1166507147">
    <w:abstractNumId w:val="14"/>
  </w:num>
  <w:num w:numId="5" w16cid:durableId="1682780411">
    <w:abstractNumId w:val="0"/>
  </w:num>
  <w:num w:numId="6" w16cid:durableId="1520504782">
    <w:abstractNumId w:val="9"/>
  </w:num>
  <w:num w:numId="7" w16cid:durableId="687219070">
    <w:abstractNumId w:val="5"/>
  </w:num>
  <w:num w:numId="8" w16cid:durableId="1257788937">
    <w:abstractNumId w:val="3"/>
  </w:num>
  <w:num w:numId="9" w16cid:durableId="823356548">
    <w:abstractNumId w:val="11"/>
  </w:num>
  <w:num w:numId="10" w16cid:durableId="1222836307">
    <w:abstractNumId w:val="15"/>
  </w:num>
  <w:num w:numId="11" w16cid:durableId="1056902547">
    <w:abstractNumId w:val="7"/>
  </w:num>
  <w:num w:numId="12" w16cid:durableId="1949969421">
    <w:abstractNumId w:val="12"/>
  </w:num>
  <w:num w:numId="13" w16cid:durableId="2058047972">
    <w:abstractNumId w:val="1"/>
  </w:num>
  <w:num w:numId="14" w16cid:durableId="1302729722">
    <w:abstractNumId w:val="10"/>
  </w:num>
  <w:num w:numId="15" w16cid:durableId="1894196127">
    <w:abstractNumId w:val="4"/>
  </w:num>
  <w:num w:numId="16" w16cid:durableId="206644240">
    <w:abstractNumId w:val="8"/>
  </w:num>
  <w:num w:numId="17" w16cid:durableId="16874362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C"/>
    <w:rsid w:val="00012912"/>
    <w:rsid w:val="000329E9"/>
    <w:rsid w:val="00035758"/>
    <w:rsid w:val="00054D54"/>
    <w:rsid w:val="00081555"/>
    <w:rsid w:val="000D6D16"/>
    <w:rsid w:val="000F62A6"/>
    <w:rsid w:val="00120179"/>
    <w:rsid w:val="001231A1"/>
    <w:rsid w:val="00164EB9"/>
    <w:rsid w:val="001749F9"/>
    <w:rsid w:val="0021637E"/>
    <w:rsid w:val="002475C5"/>
    <w:rsid w:val="002D68BB"/>
    <w:rsid w:val="002E0028"/>
    <w:rsid w:val="002E0AFD"/>
    <w:rsid w:val="002E7481"/>
    <w:rsid w:val="002F7B53"/>
    <w:rsid w:val="003008B5"/>
    <w:rsid w:val="00306C62"/>
    <w:rsid w:val="00317E3F"/>
    <w:rsid w:val="00345360"/>
    <w:rsid w:val="00345E35"/>
    <w:rsid w:val="00364DF7"/>
    <w:rsid w:val="00374243"/>
    <w:rsid w:val="003835ED"/>
    <w:rsid w:val="003C3CED"/>
    <w:rsid w:val="003F3671"/>
    <w:rsid w:val="00446E6E"/>
    <w:rsid w:val="00455246"/>
    <w:rsid w:val="004559A4"/>
    <w:rsid w:val="004D0DD5"/>
    <w:rsid w:val="004E6875"/>
    <w:rsid w:val="00503127"/>
    <w:rsid w:val="005D1FDD"/>
    <w:rsid w:val="005F2BB6"/>
    <w:rsid w:val="006432C4"/>
    <w:rsid w:val="006B6737"/>
    <w:rsid w:val="006B7325"/>
    <w:rsid w:val="006D2A6C"/>
    <w:rsid w:val="00700020"/>
    <w:rsid w:val="0072464C"/>
    <w:rsid w:val="00781C5B"/>
    <w:rsid w:val="007E74BA"/>
    <w:rsid w:val="0082036E"/>
    <w:rsid w:val="00824556"/>
    <w:rsid w:val="0082766D"/>
    <w:rsid w:val="008333A1"/>
    <w:rsid w:val="00844872"/>
    <w:rsid w:val="00852F82"/>
    <w:rsid w:val="008612B4"/>
    <w:rsid w:val="00862B99"/>
    <w:rsid w:val="00863E42"/>
    <w:rsid w:val="0087377D"/>
    <w:rsid w:val="008814FC"/>
    <w:rsid w:val="009004A6"/>
    <w:rsid w:val="00926ADE"/>
    <w:rsid w:val="00927834"/>
    <w:rsid w:val="009668F5"/>
    <w:rsid w:val="009713B1"/>
    <w:rsid w:val="0099210D"/>
    <w:rsid w:val="009B6D6D"/>
    <w:rsid w:val="00A1407E"/>
    <w:rsid w:val="00A30C23"/>
    <w:rsid w:val="00A6393A"/>
    <w:rsid w:val="00A64EFB"/>
    <w:rsid w:val="00AF7365"/>
    <w:rsid w:val="00B26EB6"/>
    <w:rsid w:val="00B447B2"/>
    <w:rsid w:val="00B4654E"/>
    <w:rsid w:val="00B7521C"/>
    <w:rsid w:val="00B85098"/>
    <w:rsid w:val="00B87162"/>
    <w:rsid w:val="00CB6199"/>
    <w:rsid w:val="00D074B8"/>
    <w:rsid w:val="00D3539B"/>
    <w:rsid w:val="00D752A6"/>
    <w:rsid w:val="00DD6C76"/>
    <w:rsid w:val="00DF0453"/>
    <w:rsid w:val="00E2092E"/>
    <w:rsid w:val="00E21FD1"/>
    <w:rsid w:val="00E81D39"/>
    <w:rsid w:val="00EB70CC"/>
    <w:rsid w:val="00ED0224"/>
    <w:rsid w:val="00EF58A2"/>
    <w:rsid w:val="00F20606"/>
    <w:rsid w:val="00F52DB6"/>
    <w:rsid w:val="00FB6133"/>
    <w:rsid w:val="00FC3E6C"/>
    <w:rsid w:val="00FC7830"/>
    <w:rsid w:val="00F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9372C"/>
  <w15:docId w15:val="{912E1A3C-7B86-45B6-A4EC-A66B093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uiPriority w:val="1"/>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 w:type="paragraph" w:styleId="BodyTextIndent3">
    <w:name w:val="Body Text Indent 3"/>
    <w:basedOn w:val="Normal"/>
    <w:link w:val="BodyTextIndent3Char"/>
    <w:semiHidden/>
    <w:rsid w:val="00E21FD1"/>
    <w:pPr>
      <w:spacing w:after="120" w:line="240" w:lineRule="auto"/>
      <w:ind w:left="283"/>
    </w:pPr>
    <w:rPr>
      <w:rFonts w:ascii="Arial" w:eastAsia="Times New Roman" w:hAnsi="Arial" w:cs="Arial"/>
      <w:sz w:val="16"/>
      <w:szCs w:val="16"/>
      <w:lang w:val="en-GB" w:eastAsia="en-GB"/>
    </w:rPr>
  </w:style>
  <w:style w:type="character" w:customStyle="1" w:styleId="BodyTextIndent3Char">
    <w:name w:val="Body Text Indent 3 Char"/>
    <w:basedOn w:val="DefaultParagraphFont"/>
    <w:link w:val="BodyTextIndent3"/>
    <w:semiHidden/>
    <w:rsid w:val="00E21FD1"/>
    <w:rPr>
      <w:rFonts w:ascii="Arial" w:eastAsia="Times New Roman" w:hAnsi="Arial" w:cs="Arial"/>
      <w:sz w:val="16"/>
      <w:szCs w:val="16"/>
    </w:rPr>
  </w:style>
  <w:style w:type="paragraph" w:customStyle="1" w:styleId="ColorfulList-Accent11">
    <w:name w:val="Colorful List - Accent 11"/>
    <w:basedOn w:val="Normal"/>
    <w:uiPriority w:val="34"/>
    <w:qFormat/>
    <w:rsid w:val="00E81D39"/>
    <w:pPr>
      <w:widowControl w:val="0"/>
      <w:spacing w:after="0" w:line="240" w:lineRule="auto"/>
      <w:ind w:left="720"/>
      <w:contextualSpacing/>
    </w:pPr>
    <w:rPr>
      <w:rFonts w:ascii="Arial" w:eastAsia="Calibri" w:hAnsi="Arial"/>
      <w:sz w:val="20"/>
    </w:rPr>
  </w:style>
  <w:style w:type="paragraph" w:styleId="TOC3">
    <w:name w:val="toc 3"/>
    <w:basedOn w:val="Normal"/>
    <w:next w:val="Normal"/>
    <w:autoRedefine/>
    <w:uiPriority w:val="39"/>
    <w:qFormat/>
    <w:rsid w:val="00DF0453"/>
    <w:pPr>
      <w:spacing w:after="0" w:line="240" w:lineRule="auto"/>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1704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2019-12-30T10:28:00Z</cp:lastPrinted>
  <dcterms:created xsi:type="dcterms:W3CDTF">2023-04-13T08:39:00Z</dcterms:created>
  <dcterms:modified xsi:type="dcterms:W3CDTF">2023-04-13T08:39:00Z</dcterms:modified>
</cp:coreProperties>
</file>