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B2DF" w14:textId="77777777" w:rsidR="00B7521C" w:rsidRPr="00FC7830" w:rsidRDefault="00B7521C">
      <w:pPr>
        <w:spacing w:after="0" w:line="240" w:lineRule="auto"/>
        <w:ind w:left="720"/>
        <w:jc w:val="center"/>
        <w:rPr>
          <w:rFonts w:ascii="Tahoma" w:hAnsi="Tahoma" w:cs="Tahoma"/>
          <w:b/>
          <w:noProof/>
          <w:sz w:val="24"/>
          <w:szCs w:val="24"/>
          <w:lang w:val="en-GB" w:eastAsia="en-GB"/>
        </w:rPr>
      </w:pPr>
      <w:r w:rsidRPr="00FC7830">
        <w:rPr>
          <w:rFonts w:ascii="Tahoma" w:hAnsi="Tahoma" w:cs="Tahoma"/>
          <w:b/>
          <w:noProof/>
          <w:sz w:val="24"/>
          <w:szCs w:val="24"/>
          <w:lang w:val="en-GB" w:eastAsia="en-GB"/>
        </w:rPr>
        <w:t xml:space="preserve">Newry, Mourne and Down District Council Section 75 Policy Screening Report </w:t>
      </w:r>
    </w:p>
    <w:p w14:paraId="2675CDA9" w14:textId="344F3FDA" w:rsidR="00B7521C" w:rsidRPr="00FC7830" w:rsidRDefault="00B7521C">
      <w:pPr>
        <w:pStyle w:val="Heading1"/>
        <w:rPr>
          <w:rFonts w:ascii="Tahoma" w:hAnsi="Tahoma" w:cs="Tahoma"/>
          <w:b/>
          <w:sz w:val="24"/>
          <w:szCs w:val="24"/>
        </w:rPr>
      </w:pPr>
      <w:r w:rsidRPr="00FC7830">
        <w:rPr>
          <w:rFonts w:ascii="Tahoma" w:hAnsi="Tahoma" w:cs="Tahoma"/>
          <w:b/>
          <w:sz w:val="24"/>
          <w:szCs w:val="24"/>
        </w:rPr>
        <w:t xml:space="preserve">Quarterly Report </w:t>
      </w:r>
      <w:r w:rsidR="00343291">
        <w:rPr>
          <w:rFonts w:ascii="Tahoma" w:hAnsi="Tahoma" w:cs="Tahoma"/>
          <w:b/>
          <w:bCs/>
          <w:sz w:val="24"/>
          <w:szCs w:val="24"/>
        </w:rPr>
        <w:t>April - June</w:t>
      </w:r>
      <w:r w:rsidR="0087377D">
        <w:rPr>
          <w:rFonts w:ascii="Tahoma" w:hAnsi="Tahoma" w:cs="Tahoma"/>
          <w:b/>
          <w:bCs/>
          <w:sz w:val="24"/>
          <w:szCs w:val="24"/>
        </w:rPr>
        <w:t xml:space="preserve"> 2023</w:t>
      </w:r>
    </w:p>
    <w:p w14:paraId="105F8C29" w14:textId="77777777" w:rsidR="009004A6" w:rsidRPr="00FC7830" w:rsidRDefault="009004A6" w:rsidP="007E74BA">
      <w:pPr>
        <w:spacing w:after="0" w:line="240" w:lineRule="auto"/>
        <w:jc w:val="center"/>
        <w:rPr>
          <w:rFonts w:ascii="Tahoma" w:hAnsi="Tahoma" w:cs="Tahoma"/>
          <w:b/>
          <w:bCs/>
          <w:sz w:val="24"/>
          <w:szCs w:val="24"/>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8534"/>
        <w:gridCol w:w="1672"/>
      </w:tblGrid>
      <w:tr w:rsidR="008612B4" w:rsidRPr="004559A4" w14:paraId="7D286545" w14:textId="77777777" w:rsidTr="00781C5B">
        <w:tc>
          <w:tcPr>
            <w:tcW w:w="2624" w:type="dxa"/>
          </w:tcPr>
          <w:p w14:paraId="3C90CA7A" w14:textId="77777777" w:rsidR="008612B4" w:rsidRPr="004559A4" w:rsidRDefault="008612B4" w:rsidP="00781C5B">
            <w:pPr>
              <w:spacing w:after="0" w:line="240" w:lineRule="auto"/>
              <w:rPr>
                <w:rFonts w:ascii="Tahoma" w:hAnsi="Tahoma" w:cs="Tahoma"/>
                <w:b/>
                <w:sz w:val="24"/>
                <w:szCs w:val="24"/>
                <w:lang w:val="en-GB"/>
              </w:rPr>
            </w:pPr>
            <w:r w:rsidRPr="004559A4">
              <w:rPr>
                <w:rFonts w:ascii="Tahoma" w:hAnsi="Tahoma" w:cs="Tahoma"/>
                <w:b/>
                <w:sz w:val="24"/>
                <w:szCs w:val="24"/>
                <w:lang w:val="en-GB"/>
              </w:rPr>
              <w:t>Policy</w:t>
            </w:r>
          </w:p>
        </w:tc>
        <w:tc>
          <w:tcPr>
            <w:tcW w:w="8534" w:type="dxa"/>
          </w:tcPr>
          <w:p w14:paraId="19B46C09" w14:textId="77777777" w:rsidR="008612B4" w:rsidRPr="004559A4" w:rsidRDefault="008612B4" w:rsidP="00781C5B">
            <w:pPr>
              <w:spacing w:after="0" w:line="240" w:lineRule="auto"/>
              <w:rPr>
                <w:rFonts w:ascii="Tahoma" w:hAnsi="Tahoma" w:cs="Tahoma"/>
                <w:b/>
                <w:sz w:val="24"/>
                <w:szCs w:val="24"/>
                <w:lang w:val="en-GB"/>
              </w:rPr>
            </w:pPr>
            <w:r w:rsidRPr="004559A4">
              <w:rPr>
                <w:rFonts w:ascii="Tahoma" w:hAnsi="Tahoma" w:cs="Tahoma"/>
                <w:b/>
                <w:sz w:val="24"/>
                <w:szCs w:val="24"/>
                <w:lang w:val="en-GB"/>
              </w:rPr>
              <w:t>Details of policy</w:t>
            </w:r>
          </w:p>
        </w:tc>
        <w:tc>
          <w:tcPr>
            <w:tcW w:w="1672" w:type="dxa"/>
          </w:tcPr>
          <w:p w14:paraId="39A15436" w14:textId="77777777" w:rsidR="008612B4" w:rsidRPr="004559A4" w:rsidRDefault="008612B4" w:rsidP="00781C5B">
            <w:pPr>
              <w:spacing w:after="0" w:line="240" w:lineRule="auto"/>
              <w:rPr>
                <w:rFonts w:ascii="Tahoma" w:hAnsi="Tahoma" w:cs="Tahoma"/>
                <w:b/>
                <w:sz w:val="24"/>
                <w:szCs w:val="24"/>
                <w:lang w:val="en-GB"/>
              </w:rPr>
            </w:pPr>
            <w:r w:rsidRPr="004559A4">
              <w:rPr>
                <w:rFonts w:ascii="Tahoma" w:hAnsi="Tahoma" w:cs="Tahoma"/>
                <w:b/>
                <w:sz w:val="24"/>
                <w:szCs w:val="24"/>
                <w:lang w:val="en-GB"/>
              </w:rPr>
              <w:t>Screening Outcome</w:t>
            </w:r>
          </w:p>
        </w:tc>
      </w:tr>
      <w:tr w:rsidR="008612B4" w:rsidRPr="004559A4" w14:paraId="1AE4894D" w14:textId="77777777" w:rsidTr="00781C5B">
        <w:tc>
          <w:tcPr>
            <w:tcW w:w="2624" w:type="dxa"/>
          </w:tcPr>
          <w:p w14:paraId="5D07A2E8" w14:textId="77777777" w:rsidR="009E1B49" w:rsidRPr="009E1B49" w:rsidRDefault="009E1B49" w:rsidP="009E1B49">
            <w:pPr>
              <w:spacing w:after="0" w:line="240" w:lineRule="auto"/>
              <w:rPr>
                <w:rFonts w:ascii="Tahoma" w:hAnsi="Tahoma" w:cs="Tahoma"/>
                <w:bCs/>
                <w:sz w:val="24"/>
                <w:szCs w:val="24"/>
              </w:rPr>
            </w:pPr>
            <w:r w:rsidRPr="009E1B49">
              <w:rPr>
                <w:rFonts w:ascii="Tahoma" w:hAnsi="Tahoma" w:cs="Tahoma"/>
                <w:bCs/>
                <w:sz w:val="24"/>
                <w:szCs w:val="24"/>
              </w:rPr>
              <w:t xml:space="preserve">Conflict of Interest Policy and </w:t>
            </w:r>
            <w:proofErr w:type="gramStart"/>
            <w:r w:rsidRPr="009E1B49">
              <w:rPr>
                <w:rFonts w:ascii="Tahoma" w:hAnsi="Tahoma" w:cs="Tahoma"/>
                <w:bCs/>
                <w:sz w:val="24"/>
                <w:szCs w:val="24"/>
              </w:rPr>
              <w:t>associated</w:t>
            </w:r>
            <w:proofErr w:type="gramEnd"/>
          </w:p>
          <w:p w14:paraId="11C1F71D" w14:textId="090196D8" w:rsidR="00E81D39" w:rsidRPr="004559A4" w:rsidRDefault="009E1B49" w:rsidP="009E1B49">
            <w:pPr>
              <w:spacing w:after="0" w:line="240" w:lineRule="auto"/>
              <w:rPr>
                <w:rFonts w:ascii="Tahoma" w:hAnsi="Tahoma" w:cs="Tahoma"/>
                <w:bCs/>
                <w:sz w:val="24"/>
                <w:szCs w:val="24"/>
              </w:rPr>
            </w:pPr>
            <w:r w:rsidRPr="009E1B49">
              <w:rPr>
                <w:rFonts w:ascii="Tahoma" w:hAnsi="Tahoma" w:cs="Tahoma"/>
                <w:bCs/>
                <w:sz w:val="24"/>
                <w:szCs w:val="24"/>
              </w:rPr>
              <w:t>Conflict of Interest Procedures</w:t>
            </w:r>
          </w:p>
        </w:tc>
        <w:tc>
          <w:tcPr>
            <w:tcW w:w="8534" w:type="dxa"/>
          </w:tcPr>
          <w:p w14:paraId="58B537FD" w14:textId="77777777" w:rsidR="009E1B49" w:rsidRPr="009E1B49" w:rsidRDefault="009E1B49" w:rsidP="009E1B49">
            <w:pPr>
              <w:spacing w:after="0" w:line="240" w:lineRule="auto"/>
              <w:rPr>
                <w:rFonts w:ascii="Tahoma" w:eastAsia="Times New Roman" w:hAnsi="Tahoma" w:cs="Tahoma"/>
                <w:sz w:val="24"/>
                <w:szCs w:val="24"/>
                <w:lang w:val="en-GB" w:eastAsia="zh-TW"/>
              </w:rPr>
            </w:pPr>
            <w:r w:rsidRPr="009E1B49">
              <w:rPr>
                <w:rFonts w:ascii="Tahoma" w:eastAsia="Times New Roman" w:hAnsi="Tahoma" w:cs="Tahoma"/>
                <w:sz w:val="24"/>
                <w:szCs w:val="24"/>
                <w:lang w:val="en-GB" w:eastAsia="zh-TW"/>
              </w:rPr>
              <w:t xml:space="preserve">The aim of the </w:t>
            </w:r>
            <w:proofErr w:type="gramStart"/>
            <w:r w:rsidRPr="009E1B49">
              <w:rPr>
                <w:rFonts w:ascii="Tahoma" w:eastAsia="Times New Roman" w:hAnsi="Tahoma" w:cs="Tahoma"/>
                <w:sz w:val="24"/>
                <w:szCs w:val="24"/>
                <w:lang w:val="en-GB" w:eastAsia="zh-TW"/>
              </w:rPr>
              <w:t>Conflict of Interest</w:t>
            </w:r>
            <w:proofErr w:type="gramEnd"/>
            <w:r w:rsidRPr="009E1B49">
              <w:rPr>
                <w:rFonts w:ascii="Tahoma" w:eastAsia="Times New Roman" w:hAnsi="Tahoma" w:cs="Tahoma"/>
                <w:sz w:val="24"/>
                <w:szCs w:val="24"/>
                <w:lang w:val="en-GB" w:eastAsia="zh-TW"/>
              </w:rPr>
              <w:t xml:space="preserve"> Policy is to ensure the Council’s compliance with, and consistent application of, best practice in relation to Conflicts of Interest. </w:t>
            </w:r>
          </w:p>
          <w:p w14:paraId="3B31D60D" w14:textId="77777777" w:rsidR="009E1B49" w:rsidRPr="009E1B49" w:rsidRDefault="009E1B49" w:rsidP="009E1B49">
            <w:pPr>
              <w:spacing w:after="0" w:line="240" w:lineRule="auto"/>
              <w:rPr>
                <w:rFonts w:ascii="Tahoma" w:eastAsia="Times New Roman" w:hAnsi="Tahoma" w:cs="Tahoma"/>
                <w:sz w:val="24"/>
                <w:szCs w:val="24"/>
                <w:lang w:val="en-GB" w:eastAsia="zh-TW"/>
              </w:rPr>
            </w:pPr>
          </w:p>
          <w:p w14:paraId="01ED9535" w14:textId="77777777" w:rsidR="009E1B49" w:rsidRPr="009E1B49" w:rsidRDefault="009E1B49" w:rsidP="009E1B49">
            <w:pPr>
              <w:spacing w:after="0" w:line="240" w:lineRule="auto"/>
              <w:rPr>
                <w:rFonts w:ascii="Tahoma" w:eastAsia="Times New Roman" w:hAnsi="Tahoma" w:cs="Tahoma"/>
                <w:sz w:val="24"/>
                <w:szCs w:val="24"/>
                <w:lang w:val="en-GB" w:eastAsia="zh-TW"/>
              </w:rPr>
            </w:pPr>
            <w:r w:rsidRPr="009E1B49">
              <w:rPr>
                <w:rFonts w:ascii="Tahoma" w:eastAsia="Times New Roman" w:hAnsi="Tahoma" w:cs="Tahoma"/>
                <w:sz w:val="24"/>
                <w:szCs w:val="24"/>
                <w:lang w:val="en-GB" w:eastAsia="zh-TW"/>
              </w:rPr>
              <w:t>This Policy applies to:</w:t>
            </w:r>
          </w:p>
          <w:p w14:paraId="1281B5A0" w14:textId="77777777" w:rsidR="009E1B49" w:rsidRPr="009E1B49" w:rsidRDefault="009E1B49" w:rsidP="009E1B49">
            <w:pPr>
              <w:numPr>
                <w:ilvl w:val="0"/>
                <w:numId w:val="18"/>
              </w:numPr>
              <w:spacing w:after="0" w:line="240" w:lineRule="auto"/>
              <w:rPr>
                <w:rFonts w:ascii="Tahoma" w:eastAsia="Times New Roman" w:hAnsi="Tahoma" w:cs="Tahoma"/>
                <w:sz w:val="24"/>
                <w:szCs w:val="24"/>
                <w:lang w:val="en-GB" w:eastAsia="zh-TW"/>
              </w:rPr>
            </w:pPr>
            <w:r w:rsidRPr="009E1B49">
              <w:rPr>
                <w:rFonts w:ascii="Tahoma" w:eastAsia="Times New Roman" w:hAnsi="Tahoma" w:cs="Tahoma"/>
                <w:sz w:val="24"/>
                <w:szCs w:val="24"/>
                <w:lang w:val="en-GB" w:eastAsia="zh-TW"/>
              </w:rPr>
              <w:t xml:space="preserve">all staff and Elected Members of Newry, Mourne and Down District </w:t>
            </w:r>
            <w:proofErr w:type="gramStart"/>
            <w:r w:rsidRPr="009E1B49">
              <w:rPr>
                <w:rFonts w:ascii="Tahoma" w:eastAsia="Times New Roman" w:hAnsi="Tahoma" w:cs="Tahoma"/>
                <w:sz w:val="24"/>
                <w:szCs w:val="24"/>
                <w:lang w:val="en-GB" w:eastAsia="zh-TW"/>
              </w:rPr>
              <w:t>Council;</w:t>
            </w:r>
            <w:proofErr w:type="gramEnd"/>
            <w:r w:rsidRPr="009E1B49">
              <w:rPr>
                <w:rFonts w:ascii="Tahoma" w:eastAsia="Times New Roman" w:hAnsi="Tahoma" w:cs="Tahoma"/>
                <w:sz w:val="24"/>
                <w:szCs w:val="24"/>
                <w:lang w:val="en-GB" w:eastAsia="zh-TW"/>
              </w:rPr>
              <w:t xml:space="preserve"> </w:t>
            </w:r>
          </w:p>
          <w:p w14:paraId="1521646A" w14:textId="77777777" w:rsidR="009E1B49" w:rsidRPr="009E1B49" w:rsidRDefault="009E1B49" w:rsidP="009E1B49">
            <w:pPr>
              <w:numPr>
                <w:ilvl w:val="0"/>
                <w:numId w:val="18"/>
              </w:numPr>
              <w:spacing w:after="0" w:line="240" w:lineRule="auto"/>
              <w:rPr>
                <w:rFonts w:ascii="Tahoma" w:eastAsia="Times New Roman" w:hAnsi="Tahoma" w:cs="Tahoma"/>
                <w:sz w:val="24"/>
                <w:szCs w:val="24"/>
                <w:lang w:val="en-GB" w:eastAsia="zh-TW"/>
              </w:rPr>
            </w:pPr>
            <w:r w:rsidRPr="009E1B49">
              <w:rPr>
                <w:rFonts w:ascii="Tahoma" w:eastAsia="Times New Roman" w:hAnsi="Tahoma" w:cs="Tahoma"/>
                <w:sz w:val="24"/>
                <w:szCs w:val="24"/>
                <w:lang w:val="en-GB" w:eastAsia="zh-TW"/>
              </w:rPr>
              <w:t xml:space="preserve">all those who work for Newry, Mourne and Down District Council (including but not limited to employees, agency staff, elected members, other public representatives, contractors, agents, consultants, servants of the Council and all </w:t>
            </w:r>
            <w:proofErr w:type="gramStart"/>
            <w:r w:rsidRPr="009E1B49">
              <w:rPr>
                <w:rFonts w:ascii="Tahoma" w:eastAsia="Times New Roman" w:hAnsi="Tahoma" w:cs="Tahoma"/>
                <w:sz w:val="24"/>
                <w:szCs w:val="24"/>
                <w:lang w:val="en-GB" w:eastAsia="zh-TW"/>
              </w:rPr>
              <w:t>third party</w:t>
            </w:r>
            <w:proofErr w:type="gramEnd"/>
            <w:r w:rsidRPr="009E1B49">
              <w:rPr>
                <w:rFonts w:ascii="Tahoma" w:eastAsia="Times New Roman" w:hAnsi="Tahoma" w:cs="Tahoma"/>
                <w:sz w:val="24"/>
                <w:szCs w:val="24"/>
                <w:lang w:val="en-GB" w:eastAsia="zh-TW"/>
              </w:rPr>
              <w:t xml:space="preserve"> data processors). </w:t>
            </w:r>
          </w:p>
          <w:p w14:paraId="293CD5E9" w14:textId="77777777" w:rsidR="00317E3F" w:rsidRDefault="00317E3F" w:rsidP="00781C5B">
            <w:pPr>
              <w:spacing w:after="0" w:line="240" w:lineRule="auto"/>
              <w:rPr>
                <w:rFonts w:ascii="Tahoma" w:hAnsi="Tahoma" w:cs="Tahoma"/>
                <w:bCs/>
                <w:sz w:val="24"/>
                <w:szCs w:val="24"/>
              </w:rPr>
            </w:pPr>
          </w:p>
          <w:p w14:paraId="300ED6DB" w14:textId="41C2D1E4" w:rsidR="004F0F7A" w:rsidRPr="004559A4" w:rsidRDefault="004F0F7A" w:rsidP="00781C5B">
            <w:pPr>
              <w:spacing w:after="0" w:line="240" w:lineRule="auto"/>
              <w:rPr>
                <w:rFonts w:ascii="Tahoma" w:hAnsi="Tahoma" w:cs="Tahoma"/>
                <w:bCs/>
                <w:sz w:val="24"/>
                <w:szCs w:val="24"/>
              </w:rPr>
            </w:pPr>
          </w:p>
        </w:tc>
        <w:tc>
          <w:tcPr>
            <w:tcW w:w="1672" w:type="dxa"/>
          </w:tcPr>
          <w:p w14:paraId="445563DA" w14:textId="77777777" w:rsidR="008612B4" w:rsidRPr="004559A4" w:rsidRDefault="008612B4" w:rsidP="00781C5B">
            <w:pPr>
              <w:spacing w:after="0" w:line="240" w:lineRule="auto"/>
              <w:rPr>
                <w:rFonts w:ascii="Tahoma" w:hAnsi="Tahoma" w:cs="Tahoma"/>
                <w:sz w:val="24"/>
                <w:szCs w:val="24"/>
              </w:rPr>
            </w:pPr>
            <w:r w:rsidRPr="004559A4">
              <w:rPr>
                <w:rFonts w:ascii="Tahoma" w:hAnsi="Tahoma" w:cs="Tahoma"/>
                <w:sz w:val="24"/>
                <w:szCs w:val="24"/>
              </w:rPr>
              <w:t>No EQIA considered necessary</w:t>
            </w:r>
          </w:p>
        </w:tc>
      </w:tr>
      <w:tr w:rsidR="00781C5B" w:rsidRPr="004559A4" w14:paraId="5FC51992" w14:textId="77777777" w:rsidTr="00781C5B">
        <w:tc>
          <w:tcPr>
            <w:tcW w:w="2624" w:type="dxa"/>
          </w:tcPr>
          <w:p w14:paraId="5B99875F" w14:textId="3F218820" w:rsidR="00781C5B" w:rsidRPr="004559A4" w:rsidRDefault="009E1B49" w:rsidP="00781C5B">
            <w:pPr>
              <w:spacing w:after="0" w:line="240" w:lineRule="auto"/>
              <w:rPr>
                <w:rFonts w:ascii="Tahoma" w:hAnsi="Tahoma" w:cs="Tahoma"/>
                <w:bCs/>
                <w:sz w:val="24"/>
                <w:szCs w:val="24"/>
              </w:rPr>
            </w:pPr>
            <w:r w:rsidRPr="009E1B49">
              <w:rPr>
                <w:rFonts w:ascii="Tahoma" w:hAnsi="Tahoma" w:cs="Tahoma"/>
                <w:bCs/>
                <w:sz w:val="24"/>
                <w:szCs w:val="24"/>
                <w:lang w:val="en-GB"/>
              </w:rPr>
              <w:t>Digital Transformation Flexible Fund</w:t>
            </w:r>
          </w:p>
        </w:tc>
        <w:tc>
          <w:tcPr>
            <w:tcW w:w="8534" w:type="dxa"/>
          </w:tcPr>
          <w:p w14:paraId="112077D6" w14:textId="1D54BEDE" w:rsidR="009E1B49" w:rsidRPr="009E1B49" w:rsidRDefault="009E1B49" w:rsidP="009E1B49">
            <w:pPr>
              <w:spacing w:after="0" w:line="240" w:lineRule="auto"/>
              <w:rPr>
                <w:rFonts w:ascii="Tahoma" w:eastAsia="Times New Roman" w:hAnsi="Tahoma" w:cs="Tahoma"/>
                <w:bCs/>
                <w:sz w:val="24"/>
                <w:szCs w:val="24"/>
                <w:lang w:val="en-GB" w:eastAsia="en-GB"/>
              </w:rPr>
            </w:pPr>
            <w:r w:rsidRPr="009E1B49">
              <w:rPr>
                <w:rFonts w:ascii="Tahoma" w:eastAsia="Times New Roman" w:hAnsi="Tahoma" w:cs="Tahoma"/>
                <w:bCs/>
                <w:sz w:val="24"/>
                <w:szCs w:val="24"/>
                <w:lang w:val="en-GB" w:eastAsia="en-GB"/>
              </w:rPr>
              <w:t xml:space="preserve">This Digital Transformation Flexible Fund (DTFF) is a new initiative emerging through the Department for the Economy’s Complementary Fund. The BRCD successfully applied to the Fund with an outline of the need for a DTFF to stimulate innovation and transformation among businesses within the City Deal region.  As neither a programme nor a project (but rather a Fund) the DTFF OBC may not come within the definition of a ‘policy’ as defined for the purposes of equality screening, and relates to businesses rather than individuals, it has been subjected to this process at the request of Invest NI.  </w:t>
            </w:r>
          </w:p>
          <w:p w14:paraId="25A1F4E8" w14:textId="77777777" w:rsidR="009E1B49" w:rsidRPr="009E1B49" w:rsidRDefault="009E1B49" w:rsidP="009E1B49">
            <w:pPr>
              <w:spacing w:after="0" w:line="240" w:lineRule="auto"/>
              <w:rPr>
                <w:rFonts w:ascii="Tahoma" w:eastAsia="Times New Roman" w:hAnsi="Tahoma" w:cs="Tahoma"/>
                <w:bCs/>
                <w:sz w:val="24"/>
                <w:szCs w:val="24"/>
                <w:lang w:val="en-GB" w:eastAsia="en-GB"/>
              </w:rPr>
            </w:pPr>
          </w:p>
          <w:p w14:paraId="513D298B" w14:textId="77777777" w:rsidR="009E1B49" w:rsidRPr="009E1B49" w:rsidRDefault="009E1B49" w:rsidP="009E1B49">
            <w:pPr>
              <w:spacing w:after="0" w:line="240" w:lineRule="auto"/>
              <w:rPr>
                <w:rFonts w:ascii="Tahoma" w:eastAsia="Times New Roman" w:hAnsi="Tahoma" w:cs="Tahoma"/>
                <w:bCs/>
                <w:sz w:val="24"/>
                <w:szCs w:val="24"/>
                <w:lang w:val="en-GB" w:eastAsia="en-GB"/>
              </w:rPr>
            </w:pPr>
            <w:r w:rsidRPr="009E1B49">
              <w:rPr>
                <w:rFonts w:ascii="Tahoma" w:eastAsia="Times New Roman" w:hAnsi="Tahoma" w:cs="Tahoma"/>
                <w:bCs/>
                <w:sz w:val="24"/>
                <w:szCs w:val="24"/>
                <w:lang w:val="en-GB" w:eastAsia="en-GB"/>
              </w:rPr>
              <w:t xml:space="preserve">The DTFF concept was initially developed in response to the low levels of innovation and digital transformation taking place across the region - particularly among the small business community and social enterprises.  The DTFF aims to address the financial barrier that small businesses face when seeking to digitally transform by establishing a capital grant fund that will </w:t>
            </w:r>
            <w:r w:rsidRPr="009E1B49">
              <w:rPr>
                <w:rFonts w:ascii="Tahoma" w:eastAsia="Times New Roman" w:hAnsi="Tahoma" w:cs="Tahoma"/>
                <w:bCs/>
                <w:sz w:val="24"/>
                <w:szCs w:val="24"/>
                <w:lang w:val="en-GB" w:eastAsia="en-GB"/>
              </w:rPr>
              <w:lastRenderedPageBreak/>
              <w:t xml:space="preserve">support investment in the types of capital equipment considered critical to their strategic digital transformation ambitions (e.g., hardware, software, bespoke system development). </w:t>
            </w:r>
          </w:p>
          <w:p w14:paraId="326F9B5B" w14:textId="77777777" w:rsidR="009E1B49" w:rsidRPr="009E1B49" w:rsidRDefault="009E1B49" w:rsidP="009E1B49">
            <w:pPr>
              <w:spacing w:after="0" w:line="240" w:lineRule="auto"/>
              <w:rPr>
                <w:rFonts w:ascii="Tahoma" w:eastAsia="Times New Roman" w:hAnsi="Tahoma" w:cs="Tahoma"/>
                <w:bCs/>
                <w:sz w:val="24"/>
                <w:szCs w:val="24"/>
                <w:lang w:val="en-GB" w:eastAsia="en-GB"/>
              </w:rPr>
            </w:pPr>
          </w:p>
          <w:p w14:paraId="7EA7AE13" w14:textId="77777777" w:rsidR="009E1B49" w:rsidRPr="009E1B49" w:rsidRDefault="009E1B49" w:rsidP="009E1B49">
            <w:pPr>
              <w:spacing w:after="0" w:line="240" w:lineRule="auto"/>
              <w:rPr>
                <w:rFonts w:ascii="Tahoma" w:eastAsia="Times New Roman" w:hAnsi="Tahoma" w:cs="Tahoma"/>
                <w:bCs/>
                <w:sz w:val="24"/>
                <w:szCs w:val="24"/>
                <w:lang w:val="en-GB" w:eastAsia="en-GB"/>
              </w:rPr>
            </w:pPr>
            <w:r w:rsidRPr="009E1B49">
              <w:rPr>
                <w:rFonts w:ascii="Tahoma" w:eastAsia="Times New Roman" w:hAnsi="Tahoma" w:cs="Tahoma"/>
                <w:bCs/>
                <w:sz w:val="24"/>
                <w:szCs w:val="24"/>
                <w:lang w:val="en-GB" w:eastAsia="en-GB"/>
              </w:rPr>
              <w:t>The capital grant fund of £7.5m to which businesses can apply on a competitive basis comprises:</w:t>
            </w:r>
          </w:p>
          <w:p w14:paraId="565FBEB2" w14:textId="77777777" w:rsidR="009E1B49" w:rsidRPr="009E1B49" w:rsidRDefault="009E1B49" w:rsidP="009E1B49">
            <w:pPr>
              <w:pStyle w:val="ListParagraph"/>
              <w:numPr>
                <w:ilvl w:val="0"/>
                <w:numId w:val="21"/>
              </w:numPr>
              <w:rPr>
                <w:rFonts w:ascii="Tahoma" w:hAnsi="Tahoma" w:cs="Tahoma"/>
                <w:bCs/>
              </w:rPr>
            </w:pPr>
            <w:r w:rsidRPr="009E1B49">
              <w:rPr>
                <w:rFonts w:ascii="Tahoma" w:hAnsi="Tahoma" w:cs="Tahoma"/>
                <w:bCs/>
              </w:rPr>
              <w:t>£6m ring-fenced through the NI City &amp; Growth Deal Complementary Fund</w:t>
            </w:r>
          </w:p>
          <w:p w14:paraId="563DD1FA" w14:textId="76F2A98F" w:rsidR="009E1B49" w:rsidRPr="009E1B49" w:rsidRDefault="009E1B49" w:rsidP="009E1B49">
            <w:pPr>
              <w:pStyle w:val="ListParagraph"/>
              <w:numPr>
                <w:ilvl w:val="0"/>
                <w:numId w:val="21"/>
              </w:numPr>
              <w:rPr>
                <w:rFonts w:ascii="Tahoma" w:hAnsi="Tahoma" w:cs="Tahoma"/>
                <w:bCs/>
              </w:rPr>
            </w:pPr>
            <w:r w:rsidRPr="009E1B49">
              <w:rPr>
                <w:rFonts w:ascii="Tahoma" w:hAnsi="Tahoma" w:cs="Tahoma"/>
                <w:bCs/>
              </w:rPr>
              <w:t xml:space="preserve">£1.1m committed by the Department for Agriculture, Environment and Rural Affairs (DAERA) </w:t>
            </w:r>
          </w:p>
          <w:p w14:paraId="1CAD3665" w14:textId="2C60DE80" w:rsidR="009E1B49" w:rsidRPr="009E1B49" w:rsidRDefault="009E1B49" w:rsidP="009E1B49">
            <w:pPr>
              <w:pStyle w:val="ListParagraph"/>
              <w:numPr>
                <w:ilvl w:val="0"/>
                <w:numId w:val="21"/>
              </w:numPr>
              <w:rPr>
                <w:rFonts w:ascii="Tahoma" w:hAnsi="Tahoma" w:cs="Tahoma"/>
                <w:bCs/>
              </w:rPr>
            </w:pPr>
            <w:r w:rsidRPr="009E1B49">
              <w:rPr>
                <w:rFonts w:ascii="Tahoma" w:hAnsi="Tahoma" w:cs="Tahoma"/>
                <w:bCs/>
              </w:rPr>
              <w:t xml:space="preserve">£450k from Derry City &amp; Strabane Growth Deal </w:t>
            </w:r>
          </w:p>
          <w:p w14:paraId="3C0C919D" w14:textId="77777777" w:rsidR="009E1B49" w:rsidRPr="009E1B49" w:rsidRDefault="009E1B49" w:rsidP="009E1B49">
            <w:pPr>
              <w:spacing w:after="0" w:line="240" w:lineRule="auto"/>
              <w:rPr>
                <w:rFonts w:ascii="Tahoma" w:eastAsia="Times New Roman" w:hAnsi="Tahoma" w:cs="Tahoma"/>
                <w:bCs/>
                <w:sz w:val="24"/>
                <w:szCs w:val="24"/>
                <w:lang w:val="en-GB" w:eastAsia="en-GB"/>
              </w:rPr>
            </w:pPr>
            <w:r w:rsidRPr="009E1B49">
              <w:rPr>
                <w:rFonts w:ascii="Tahoma" w:eastAsia="Times New Roman" w:hAnsi="Tahoma" w:cs="Tahoma"/>
                <w:bCs/>
                <w:sz w:val="24"/>
                <w:szCs w:val="24"/>
                <w:lang w:val="en-GB" w:eastAsia="en-GB"/>
              </w:rPr>
              <w:tab/>
            </w:r>
          </w:p>
          <w:p w14:paraId="493B1478" w14:textId="77777777" w:rsidR="009E1B49" w:rsidRPr="009E1B49" w:rsidRDefault="009E1B49" w:rsidP="009E1B49">
            <w:pPr>
              <w:spacing w:after="0" w:line="240" w:lineRule="auto"/>
              <w:rPr>
                <w:rFonts w:ascii="Tahoma" w:eastAsia="Times New Roman" w:hAnsi="Tahoma" w:cs="Tahoma"/>
                <w:bCs/>
                <w:sz w:val="24"/>
                <w:szCs w:val="24"/>
                <w:lang w:val="en-GB" w:eastAsia="en-GB"/>
              </w:rPr>
            </w:pPr>
            <w:r w:rsidRPr="009E1B49">
              <w:rPr>
                <w:rFonts w:ascii="Tahoma" w:eastAsia="Times New Roman" w:hAnsi="Tahoma" w:cs="Tahoma"/>
                <w:bCs/>
                <w:sz w:val="24"/>
                <w:szCs w:val="24"/>
                <w:lang w:val="en-GB" w:eastAsia="en-GB"/>
              </w:rPr>
              <w:t>The Outline Business Case submitted to DfE and INI for approval is supported by all 11 local Councils.  It has been designed in continuous engagement with relevant council representatives and with other relevant stakeholders and informed by data and analysis to explore and understand the barriers to small and micro businesses innovating and transforming and the opportunities for addressing these barriers.</w:t>
            </w:r>
          </w:p>
          <w:p w14:paraId="7A8D10AA" w14:textId="77777777" w:rsidR="009E1B49" w:rsidRPr="009E1B49" w:rsidRDefault="009E1B49" w:rsidP="009E1B49">
            <w:pPr>
              <w:spacing w:after="0" w:line="240" w:lineRule="auto"/>
              <w:rPr>
                <w:rFonts w:ascii="Tahoma" w:eastAsia="Times New Roman" w:hAnsi="Tahoma" w:cs="Tahoma"/>
                <w:bCs/>
                <w:sz w:val="24"/>
                <w:szCs w:val="24"/>
                <w:lang w:val="en-GB" w:eastAsia="en-GB"/>
              </w:rPr>
            </w:pPr>
          </w:p>
          <w:p w14:paraId="10C53821" w14:textId="77777777" w:rsidR="009E1B49" w:rsidRPr="009E1B49" w:rsidRDefault="009E1B49" w:rsidP="009E1B49">
            <w:pPr>
              <w:spacing w:after="0" w:line="240" w:lineRule="auto"/>
              <w:rPr>
                <w:rFonts w:ascii="Tahoma" w:eastAsia="Times New Roman" w:hAnsi="Tahoma" w:cs="Tahoma"/>
                <w:bCs/>
                <w:sz w:val="24"/>
                <w:szCs w:val="24"/>
                <w:lang w:val="en-GB" w:eastAsia="en-GB"/>
              </w:rPr>
            </w:pPr>
            <w:r w:rsidRPr="009E1B49">
              <w:rPr>
                <w:rFonts w:ascii="Tahoma" w:eastAsia="Times New Roman" w:hAnsi="Tahoma" w:cs="Tahoma"/>
                <w:bCs/>
                <w:sz w:val="24"/>
                <w:szCs w:val="24"/>
                <w:lang w:val="en-GB" w:eastAsia="en-GB"/>
              </w:rPr>
              <w:t>This has highlighted a particular need for capital funding to promote investment in certain transformative technologies. The OBC has been endorsed and approved by the BRCD E&amp;S Board, the BRCD Executive Board and individual Councils through their normal Committee approval arrangements (Dec 22).</w:t>
            </w:r>
          </w:p>
          <w:p w14:paraId="790712E4" w14:textId="77777777" w:rsidR="009E1B49" w:rsidRPr="009E1B49" w:rsidRDefault="009E1B49" w:rsidP="009E1B49">
            <w:pPr>
              <w:spacing w:after="0" w:line="240" w:lineRule="auto"/>
              <w:rPr>
                <w:rFonts w:ascii="Tahoma" w:eastAsia="Times New Roman" w:hAnsi="Tahoma" w:cs="Tahoma"/>
                <w:bCs/>
                <w:sz w:val="24"/>
                <w:szCs w:val="24"/>
                <w:lang w:val="en-GB" w:eastAsia="en-GB"/>
              </w:rPr>
            </w:pPr>
          </w:p>
          <w:p w14:paraId="1F6CAAEB" w14:textId="77777777" w:rsidR="009E1B49" w:rsidRPr="009E1B49" w:rsidRDefault="009E1B49" w:rsidP="009E1B49">
            <w:pPr>
              <w:spacing w:after="0" w:line="240" w:lineRule="auto"/>
              <w:rPr>
                <w:rFonts w:ascii="Tahoma" w:eastAsia="Times New Roman" w:hAnsi="Tahoma" w:cs="Tahoma"/>
                <w:bCs/>
                <w:sz w:val="24"/>
                <w:szCs w:val="24"/>
                <w:lang w:val="en-GB" w:eastAsia="en-GB"/>
              </w:rPr>
            </w:pPr>
            <w:r w:rsidRPr="009E1B49">
              <w:rPr>
                <w:rFonts w:ascii="Tahoma" w:eastAsia="Times New Roman" w:hAnsi="Tahoma" w:cs="Tahoma"/>
                <w:bCs/>
                <w:sz w:val="24"/>
                <w:szCs w:val="24"/>
                <w:lang w:val="en-GB" w:eastAsia="en-GB"/>
              </w:rPr>
              <w:t>It is important to note that this Fund is not open to individuals but only to businesses/social enterprises and is not therefore likely to create any adverse impact to any individual from a Section 75 category.</w:t>
            </w:r>
          </w:p>
          <w:p w14:paraId="45A76DF6" w14:textId="77777777" w:rsidR="0087377D" w:rsidRDefault="0087377D" w:rsidP="00781C5B">
            <w:pPr>
              <w:spacing w:after="0" w:line="240" w:lineRule="auto"/>
              <w:rPr>
                <w:rFonts w:ascii="Tahoma" w:hAnsi="Tahoma" w:cs="Tahoma"/>
                <w:sz w:val="24"/>
                <w:szCs w:val="24"/>
              </w:rPr>
            </w:pPr>
          </w:p>
          <w:p w14:paraId="2BEB277F" w14:textId="11FC3AA8" w:rsidR="004F0F7A" w:rsidRPr="004559A4" w:rsidRDefault="004F0F7A" w:rsidP="00781C5B">
            <w:pPr>
              <w:spacing w:after="0" w:line="240" w:lineRule="auto"/>
              <w:rPr>
                <w:rFonts w:ascii="Tahoma" w:hAnsi="Tahoma" w:cs="Tahoma"/>
                <w:sz w:val="24"/>
                <w:szCs w:val="24"/>
              </w:rPr>
            </w:pPr>
          </w:p>
        </w:tc>
        <w:tc>
          <w:tcPr>
            <w:tcW w:w="1672" w:type="dxa"/>
          </w:tcPr>
          <w:p w14:paraId="775700C2" w14:textId="2610A801" w:rsidR="00781C5B" w:rsidRPr="004559A4" w:rsidRDefault="00781C5B" w:rsidP="00781C5B">
            <w:pPr>
              <w:spacing w:after="0" w:line="240" w:lineRule="auto"/>
              <w:rPr>
                <w:rFonts w:ascii="Tahoma" w:hAnsi="Tahoma" w:cs="Tahoma"/>
                <w:sz w:val="24"/>
                <w:szCs w:val="24"/>
              </w:rPr>
            </w:pPr>
            <w:r w:rsidRPr="004559A4">
              <w:rPr>
                <w:rFonts w:ascii="Tahoma" w:hAnsi="Tahoma" w:cs="Tahoma"/>
                <w:sz w:val="24"/>
                <w:szCs w:val="24"/>
              </w:rPr>
              <w:lastRenderedPageBreak/>
              <w:t>No EQIA considered necessary</w:t>
            </w:r>
          </w:p>
        </w:tc>
      </w:tr>
      <w:tr w:rsidR="004559A4" w:rsidRPr="004559A4" w14:paraId="4FA17E6D" w14:textId="77777777" w:rsidTr="00781C5B">
        <w:tc>
          <w:tcPr>
            <w:tcW w:w="2624" w:type="dxa"/>
          </w:tcPr>
          <w:p w14:paraId="54E970B7" w14:textId="758BBF90" w:rsidR="004559A4" w:rsidRPr="004559A4" w:rsidRDefault="009E1B49" w:rsidP="00781C5B">
            <w:pPr>
              <w:spacing w:after="0" w:line="240" w:lineRule="auto"/>
              <w:rPr>
                <w:rFonts w:ascii="Tahoma" w:hAnsi="Tahoma" w:cs="Tahoma"/>
                <w:bCs/>
                <w:sz w:val="24"/>
                <w:szCs w:val="24"/>
              </w:rPr>
            </w:pPr>
            <w:r>
              <w:rPr>
                <w:rFonts w:ascii="Tahoma" w:hAnsi="Tahoma" w:cs="Tahoma"/>
                <w:bCs/>
                <w:sz w:val="24"/>
                <w:szCs w:val="24"/>
              </w:rPr>
              <w:lastRenderedPageBreak/>
              <w:t>Business Continuity Policy</w:t>
            </w:r>
          </w:p>
        </w:tc>
        <w:tc>
          <w:tcPr>
            <w:tcW w:w="8534" w:type="dxa"/>
          </w:tcPr>
          <w:p w14:paraId="10663AA2" w14:textId="77777777" w:rsidR="009E1B49" w:rsidRPr="009E1B49" w:rsidRDefault="009E1B49" w:rsidP="009E1B49">
            <w:pPr>
              <w:spacing w:after="0" w:line="240" w:lineRule="auto"/>
              <w:rPr>
                <w:rFonts w:ascii="Tahoma" w:eastAsia="Times New Roman" w:hAnsi="Tahoma" w:cs="Tahoma"/>
                <w:sz w:val="24"/>
                <w:szCs w:val="24"/>
                <w:lang w:eastAsia="en-GB"/>
              </w:rPr>
            </w:pPr>
            <w:r w:rsidRPr="009E1B49">
              <w:rPr>
                <w:rFonts w:ascii="Tahoma" w:eastAsia="Times New Roman" w:hAnsi="Tahoma" w:cs="Tahoma"/>
                <w:sz w:val="24"/>
                <w:szCs w:val="24"/>
                <w:lang w:eastAsia="en-GB"/>
              </w:rPr>
              <w:t>Newry Mourne and Down District Council’s Business Continuity Policy provides a structure through which:</w:t>
            </w:r>
          </w:p>
          <w:p w14:paraId="3CE41685" w14:textId="77777777" w:rsidR="009E1B49" w:rsidRPr="009E1B49" w:rsidRDefault="009E1B49" w:rsidP="009E1B49">
            <w:pPr>
              <w:spacing w:after="0" w:line="240" w:lineRule="auto"/>
              <w:rPr>
                <w:rFonts w:ascii="Tahoma" w:eastAsia="Times New Roman" w:hAnsi="Tahoma" w:cs="Tahoma"/>
                <w:sz w:val="24"/>
                <w:szCs w:val="24"/>
                <w:lang w:eastAsia="en-GB"/>
              </w:rPr>
            </w:pPr>
          </w:p>
          <w:p w14:paraId="1540B29A" w14:textId="77777777" w:rsidR="009E1B49" w:rsidRPr="009E1B49" w:rsidRDefault="009E1B49" w:rsidP="009E1B49">
            <w:pPr>
              <w:numPr>
                <w:ilvl w:val="1"/>
                <w:numId w:val="22"/>
              </w:numPr>
              <w:spacing w:after="0" w:line="240" w:lineRule="auto"/>
              <w:rPr>
                <w:rFonts w:ascii="Tahoma" w:eastAsia="Times New Roman" w:hAnsi="Tahoma" w:cs="Tahoma"/>
                <w:sz w:val="24"/>
                <w:szCs w:val="24"/>
                <w:lang w:val="en-GB" w:eastAsia="en-GB"/>
              </w:rPr>
            </w:pPr>
            <w:r w:rsidRPr="009E1B49">
              <w:rPr>
                <w:rFonts w:ascii="Tahoma" w:eastAsia="Times New Roman" w:hAnsi="Tahoma" w:cs="Tahoma"/>
                <w:sz w:val="24"/>
                <w:szCs w:val="24"/>
                <w:lang w:val="en-GB" w:eastAsia="en-GB"/>
              </w:rPr>
              <w:t>Critical services and their supporting activities/resources can be identified.</w:t>
            </w:r>
          </w:p>
          <w:p w14:paraId="6E107FF4" w14:textId="77777777" w:rsidR="009E1B49" w:rsidRPr="009E1B49" w:rsidRDefault="009E1B49" w:rsidP="009E1B49">
            <w:pPr>
              <w:numPr>
                <w:ilvl w:val="1"/>
                <w:numId w:val="22"/>
              </w:numPr>
              <w:spacing w:after="0" w:line="240" w:lineRule="auto"/>
              <w:rPr>
                <w:rFonts w:ascii="Tahoma" w:eastAsia="Times New Roman" w:hAnsi="Tahoma" w:cs="Tahoma"/>
                <w:sz w:val="24"/>
                <w:szCs w:val="24"/>
                <w:lang w:val="en-GB" w:eastAsia="en-GB"/>
              </w:rPr>
            </w:pPr>
            <w:r w:rsidRPr="009E1B49">
              <w:rPr>
                <w:rFonts w:ascii="Tahoma" w:eastAsia="Times New Roman" w:hAnsi="Tahoma" w:cs="Tahoma"/>
                <w:sz w:val="24"/>
                <w:szCs w:val="24"/>
                <w:lang w:val="en-GB" w:eastAsia="en-GB"/>
              </w:rPr>
              <w:t>Plans will be developed to ensure continuity of critical service delivery following disruption, which may arise from loss of facilities, personnel, IT and/or communications or failure within the supply and support chains.</w:t>
            </w:r>
          </w:p>
          <w:p w14:paraId="0A09B4D2" w14:textId="77777777" w:rsidR="009E1B49" w:rsidRPr="009E1B49" w:rsidRDefault="009E1B49" w:rsidP="009E1B49">
            <w:pPr>
              <w:numPr>
                <w:ilvl w:val="1"/>
                <w:numId w:val="22"/>
              </w:numPr>
              <w:spacing w:after="0" w:line="240" w:lineRule="auto"/>
              <w:rPr>
                <w:rFonts w:ascii="Tahoma" w:eastAsia="Times New Roman" w:hAnsi="Tahoma" w:cs="Tahoma"/>
                <w:sz w:val="24"/>
                <w:szCs w:val="24"/>
                <w:lang w:val="en-GB" w:eastAsia="en-GB"/>
              </w:rPr>
            </w:pPr>
            <w:r w:rsidRPr="009E1B49">
              <w:rPr>
                <w:rFonts w:ascii="Tahoma" w:eastAsia="Times New Roman" w:hAnsi="Tahoma" w:cs="Tahoma"/>
                <w:sz w:val="24"/>
                <w:szCs w:val="24"/>
                <w:lang w:val="en-GB" w:eastAsia="en-GB"/>
              </w:rPr>
              <w:t>Activation of business continuity plans throughout the Council can be managed.</w:t>
            </w:r>
          </w:p>
          <w:p w14:paraId="316A9576" w14:textId="77777777" w:rsidR="009E1B49" w:rsidRPr="009E1B49" w:rsidRDefault="009E1B49" w:rsidP="009E1B49">
            <w:pPr>
              <w:numPr>
                <w:ilvl w:val="1"/>
                <w:numId w:val="22"/>
              </w:numPr>
              <w:spacing w:after="0" w:line="240" w:lineRule="auto"/>
              <w:rPr>
                <w:rFonts w:ascii="Tahoma" w:eastAsia="Times New Roman" w:hAnsi="Tahoma" w:cs="Tahoma"/>
                <w:sz w:val="24"/>
                <w:szCs w:val="24"/>
                <w:lang w:val="en-GB" w:eastAsia="en-GB"/>
              </w:rPr>
            </w:pPr>
            <w:r w:rsidRPr="009E1B49">
              <w:rPr>
                <w:rFonts w:ascii="Tahoma" w:eastAsia="Times New Roman" w:hAnsi="Tahoma" w:cs="Tahoma"/>
                <w:sz w:val="24"/>
                <w:szCs w:val="24"/>
                <w:lang w:val="en-GB" w:eastAsia="en-GB"/>
              </w:rPr>
              <w:t>Plans are subject to continuous review and validation through exercising and testing.</w:t>
            </w:r>
          </w:p>
          <w:p w14:paraId="7EE7F425" w14:textId="77777777" w:rsidR="0087377D" w:rsidRDefault="0087377D" w:rsidP="004559A4">
            <w:pPr>
              <w:spacing w:after="0" w:line="240" w:lineRule="auto"/>
              <w:rPr>
                <w:rFonts w:ascii="Tahoma" w:eastAsia="Times New Roman" w:hAnsi="Tahoma" w:cs="Tahoma"/>
                <w:sz w:val="24"/>
                <w:szCs w:val="24"/>
                <w:lang w:val="en-GB" w:eastAsia="en-GB"/>
              </w:rPr>
            </w:pPr>
          </w:p>
          <w:p w14:paraId="1A95F426" w14:textId="2501055B" w:rsidR="004F0F7A" w:rsidRPr="004559A4" w:rsidRDefault="004F0F7A" w:rsidP="004559A4">
            <w:pPr>
              <w:spacing w:after="0" w:line="240" w:lineRule="auto"/>
              <w:rPr>
                <w:rFonts w:ascii="Tahoma" w:eastAsia="Times New Roman" w:hAnsi="Tahoma" w:cs="Tahoma"/>
                <w:sz w:val="24"/>
                <w:szCs w:val="24"/>
                <w:lang w:val="en-GB" w:eastAsia="en-GB"/>
              </w:rPr>
            </w:pPr>
          </w:p>
        </w:tc>
        <w:tc>
          <w:tcPr>
            <w:tcW w:w="1672" w:type="dxa"/>
          </w:tcPr>
          <w:p w14:paraId="05C41D37" w14:textId="6629FC1D" w:rsidR="004559A4" w:rsidRPr="004559A4" w:rsidRDefault="00EF58A2" w:rsidP="00781C5B">
            <w:pPr>
              <w:spacing w:after="0" w:line="240" w:lineRule="auto"/>
              <w:rPr>
                <w:rFonts w:ascii="Tahoma" w:hAnsi="Tahoma" w:cs="Tahoma"/>
                <w:sz w:val="24"/>
                <w:szCs w:val="24"/>
              </w:rPr>
            </w:pPr>
            <w:r w:rsidRPr="004559A4">
              <w:rPr>
                <w:rFonts w:ascii="Tahoma" w:hAnsi="Tahoma" w:cs="Tahoma"/>
                <w:sz w:val="24"/>
                <w:szCs w:val="24"/>
              </w:rPr>
              <w:t>No EQIA considered necessary</w:t>
            </w:r>
          </w:p>
        </w:tc>
      </w:tr>
      <w:tr w:rsidR="004559A4" w:rsidRPr="004559A4" w14:paraId="72FE87DB" w14:textId="77777777" w:rsidTr="00781C5B">
        <w:tc>
          <w:tcPr>
            <w:tcW w:w="2624" w:type="dxa"/>
          </w:tcPr>
          <w:p w14:paraId="7BDAFD46" w14:textId="26A3B949" w:rsidR="004559A4" w:rsidRPr="004559A4" w:rsidRDefault="009E1B49" w:rsidP="00781C5B">
            <w:pPr>
              <w:spacing w:after="0" w:line="240" w:lineRule="auto"/>
              <w:rPr>
                <w:rFonts w:ascii="Tahoma" w:hAnsi="Tahoma" w:cs="Tahoma"/>
                <w:bCs/>
                <w:sz w:val="24"/>
                <w:szCs w:val="24"/>
              </w:rPr>
            </w:pPr>
            <w:r w:rsidRPr="009E1B49">
              <w:rPr>
                <w:rFonts w:ascii="Tahoma" w:hAnsi="Tahoma" w:cs="Tahoma"/>
                <w:bCs/>
                <w:sz w:val="24"/>
                <w:szCs w:val="24"/>
                <w:lang w:val="en-GB"/>
              </w:rPr>
              <w:t>Newry, Mourne and Down District Council’s Performance Improvement Plan 2023-24</w:t>
            </w:r>
          </w:p>
        </w:tc>
        <w:tc>
          <w:tcPr>
            <w:tcW w:w="8534" w:type="dxa"/>
          </w:tcPr>
          <w:p w14:paraId="6F4B7B76" w14:textId="0C325ECD" w:rsidR="009E1B49" w:rsidRPr="009E1B49" w:rsidRDefault="009E1B49" w:rsidP="009E1B49">
            <w:pPr>
              <w:spacing w:after="0" w:line="240" w:lineRule="auto"/>
              <w:rPr>
                <w:rFonts w:ascii="Tahoma" w:eastAsia="Times New Roman" w:hAnsi="Tahoma" w:cs="Tahoma"/>
                <w:sz w:val="24"/>
                <w:szCs w:val="24"/>
                <w:lang w:val="en-GB" w:eastAsia="en-GB"/>
              </w:rPr>
            </w:pPr>
            <w:r w:rsidRPr="009E1B49">
              <w:rPr>
                <w:rFonts w:ascii="Tahoma" w:eastAsia="Times New Roman" w:hAnsi="Tahoma" w:cs="Tahoma"/>
                <w:sz w:val="24"/>
                <w:szCs w:val="24"/>
                <w:lang w:val="en-GB" w:eastAsia="en-GB"/>
              </w:rPr>
              <w:t xml:space="preserve">The Performance Improvement Plan 2023-24 includes the following five objectives, all of which are linked to </w:t>
            </w:r>
            <w:r>
              <w:rPr>
                <w:rFonts w:ascii="Tahoma" w:eastAsia="Times New Roman" w:hAnsi="Tahoma" w:cs="Tahoma"/>
                <w:sz w:val="24"/>
                <w:szCs w:val="24"/>
                <w:lang w:val="en-GB" w:eastAsia="en-GB"/>
              </w:rPr>
              <w:t xml:space="preserve">the </w:t>
            </w:r>
            <w:r w:rsidRPr="009E1B49">
              <w:rPr>
                <w:rFonts w:ascii="Tahoma" w:eastAsia="Times New Roman" w:hAnsi="Tahoma" w:cs="Tahoma"/>
                <w:sz w:val="24"/>
                <w:szCs w:val="24"/>
                <w:lang w:val="en-GB" w:eastAsia="en-GB"/>
              </w:rPr>
              <w:t xml:space="preserve">Community Plan and Corporate Plan 2021-23. </w:t>
            </w:r>
          </w:p>
          <w:p w14:paraId="3DCC632A" w14:textId="77777777" w:rsidR="009E1B49" w:rsidRPr="009E1B49" w:rsidRDefault="009E1B49" w:rsidP="009E1B49">
            <w:pPr>
              <w:spacing w:after="0" w:line="240" w:lineRule="auto"/>
              <w:rPr>
                <w:rFonts w:ascii="Tahoma" w:eastAsia="Times New Roman" w:hAnsi="Tahoma" w:cs="Tahoma"/>
                <w:sz w:val="24"/>
                <w:szCs w:val="24"/>
                <w:lang w:val="en-GB" w:eastAsia="en-GB"/>
              </w:rPr>
            </w:pPr>
          </w:p>
          <w:p w14:paraId="6505217D" w14:textId="77777777" w:rsidR="009E1B49" w:rsidRPr="009E1B49" w:rsidRDefault="009E1B49" w:rsidP="009E1B49">
            <w:pPr>
              <w:numPr>
                <w:ilvl w:val="0"/>
                <w:numId w:val="17"/>
              </w:numPr>
              <w:spacing w:after="0" w:line="240" w:lineRule="auto"/>
              <w:rPr>
                <w:rFonts w:ascii="Tahoma" w:eastAsia="Times New Roman" w:hAnsi="Tahoma" w:cs="Tahoma"/>
                <w:sz w:val="24"/>
                <w:szCs w:val="24"/>
                <w:lang w:eastAsia="en-GB"/>
              </w:rPr>
            </w:pPr>
            <w:r w:rsidRPr="009E1B49">
              <w:rPr>
                <w:rFonts w:ascii="Tahoma" w:eastAsia="Times New Roman" w:hAnsi="Tahoma" w:cs="Tahoma"/>
                <w:sz w:val="24"/>
                <w:szCs w:val="24"/>
                <w:lang w:eastAsia="en-GB"/>
              </w:rPr>
              <w:t xml:space="preserve">We will support the health and wellbeing of local people by improving our leisure facilities and </w:t>
            </w:r>
            <w:proofErr w:type="gramStart"/>
            <w:r w:rsidRPr="009E1B49">
              <w:rPr>
                <w:rFonts w:ascii="Tahoma" w:eastAsia="Times New Roman" w:hAnsi="Tahoma" w:cs="Tahoma"/>
                <w:sz w:val="24"/>
                <w:szCs w:val="24"/>
                <w:lang w:eastAsia="en-GB"/>
              </w:rPr>
              <w:t>services</w:t>
            </w:r>
            <w:proofErr w:type="gramEnd"/>
          </w:p>
          <w:p w14:paraId="10E2B372" w14:textId="77777777" w:rsidR="009E1B49" w:rsidRPr="009E1B49" w:rsidRDefault="009E1B49" w:rsidP="009E1B49">
            <w:pPr>
              <w:numPr>
                <w:ilvl w:val="0"/>
                <w:numId w:val="17"/>
              </w:numPr>
              <w:spacing w:after="0" w:line="240" w:lineRule="auto"/>
              <w:rPr>
                <w:rFonts w:ascii="Tahoma" w:eastAsia="Times New Roman" w:hAnsi="Tahoma" w:cs="Tahoma"/>
                <w:sz w:val="24"/>
                <w:szCs w:val="24"/>
                <w:lang w:eastAsia="en-GB"/>
              </w:rPr>
            </w:pPr>
            <w:r w:rsidRPr="009E1B49">
              <w:rPr>
                <w:rFonts w:ascii="Tahoma" w:eastAsia="Times New Roman" w:hAnsi="Tahoma" w:cs="Tahoma"/>
                <w:sz w:val="24"/>
                <w:szCs w:val="24"/>
                <w:lang w:eastAsia="en-GB"/>
              </w:rPr>
              <w:t xml:space="preserve">We will grow the economy by supporting local businesses and creating new </w:t>
            </w:r>
            <w:proofErr w:type="gramStart"/>
            <w:r w:rsidRPr="009E1B49">
              <w:rPr>
                <w:rFonts w:ascii="Tahoma" w:eastAsia="Times New Roman" w:hAnsi="Tahoma" w:cs="Tahoma"/>
                <w:sz w:val="24"/>
                <w:szCs w:val="24"/>
                <w:lang w:eastAsia="en-GB"/>
              </w:rPr>
              <w:t>jobs</w:t>
            </w:r>
            <w:proofErr w:type="gramEnd"/>
          </w:p>
          <w:p w14:paraId="640AD9A1" w14:textId="77777777" w:rsidR="009E1B49" w:rsidRPr="009E1B49" w:rsidRDefault="009E1B49" w:rsidP="009E1B49">
            <w:pPr>
              <w:numPr>
                <w:ilvl w:val="0"/>
                <w:numId w:val="17"/>
              </w:numPr>
              <w:spacing w:after="0" w:line="240" w:lineRule="auto"/>
              <w:rPr>
                <w:rFonts w:ascii="Tahoma" w:eastAsia="Times New Roman" w:hAnsi="Tahoma" w:cs="Tahoma"/>
                <w:sz w:val="24"/>
                <w:szCs w:val="24"/>
                <w:lang w:eastAsia="en-GB"/>
              </w:rPr>
            </w:pPr>
            <w:r w:rsidRPr="009E1B49">
              <w:rPr>
                <w:rFonts w:ascii="Tahoma" w:eastAsia="Times New Roman" w:hAnsi="Tahoma" w:cs="Tahoma"/>
                <w:sz w:val="24"/>
                <w:szCs w:val="24"/>
                <w:lang w:eastAsia="en-GB"/>
              </w:rPr>
              <w:t xml:space="preserve">We will improve the cleanliness of our District by addressing littering, fly tipping and dog fouling </w:t>
            </w:r>
            <w:proofErr w:type="gramStart"/>
            <w:r w:rsidRPr="009E1B49">
              <w:rPr>
                <w:rFonts w:ascii="Tahoma" w:eastAsia="Times New Roman" w:hAnsi="Tahoma" w:cs="Tahoma"/>
                <w:sz w:val="24"/>
                <w:szCs w:val="24"/>
                <w:lang w:eastAsia="en-GB"/>
              </w:rPr>
              <w:t>incidents</w:t>
            </w:r>
            <w:proofErr w:type="gramEnd"/>
          </w:p>
          <w:p w14:paraId="0F4BDEB1" w14:textId="77777777" w:rsidR="009E1B49" w:rsidRPr="009E1B49" w:rsidRDefault="009E1B49" w:rsidP="009E1B49">
            <w:pPr>
              <w:numPr>
                <w:ilvl w:val="0"/>
                <w:numId w:val="17"/>
              </w:numPr>
              <w:spacing w:after="0" w:line="240" w:lineRule="auto"/>
              <w:rPr>
                <w:rFonts w:ascii="Tahoma" w:eastAsia="Times New Roman" w:hAnsi="Tahoma" w:cs="Tahoma"/>
                <w:sz w:val="24"/>
                <w:szCs w:val="24"/>
                <w:lang w:eastAsia="en-GB"/>
              </w:rPr>
            </w:pPr>
            <w:r w:rsidRPr="009E1B49">
              <w:rPr>
                <w:rFonts w:ascii="Tahoma" w:eastAsia="Times New Roman" w:hAnsi="Tahoma" w:cs="Tahoma"/>
                <w:sz w:val="24"/>
                <w:szCs w:val="24"/>
                <w:lang w:eastAsia="en-GB"/>
              </w:rPr>
              <w:t xml:space="preserve">We will improve our sustainability and reduce our impacts in relation to climate </w:t>
            </w:r>
            <w:proofErr w:type="gramStart"/>
            <w:r w:rsidRPr="009E1B49">
              <w:rPr>
                <w:rFonts w:ascii="Tahoma" w:eastAsia="Times New Roman" w:hAnsi="Tahoma" w:cs="Tahoma"/>
                <w:sz w:val="24"/>
                <w:szCs w:val="24"/>
                <w:lang w:eastAsia="en-GB"/>
              </w:rPr>
              <w:t>change</w:t>
            </w:r>
            <w:proofErr w:type="gramEnd"/>
          </w:p>
          <w:p w14:paraId="6CAAE0AC" w14:textId="77777777" w:rsidR="009E1B49" w:rsidRPr="009E1B49" w:rsidRDefault="009E1B49" w:rsidP="009E1B49">
            <w:pPr>
              <w:numPr>
                <w:ilvl w:val="0"/>
                <w:numId w:val="17"/>
              </w:numPr>
              <w:spacing w:after="0" w:line="240" w:lineRule="auto"/>
              <w:rPr>
                <w:rFonts w:ascii="Tahoma" w:eastAsia="Times New Roman" w:hAnsi="Tahoma" w:cs="Tahoma"/>
                <w:sz w:val="24"/>
                <w:szCs w:val="24"/>
                <w:lang w:eastAsia="en-GB"/>
              </w:rPr>
            </w:pPr>
            <w:r w:rsidRPr="009E1B49">
              <w:rPr>
                <w:rFonts w:ascii="Tahoma" w:eastAsia="Times New Roman" w:hAnsi="Tahoma" w:cs="Tahoma"/>
                <w:sz w:val="24"/>
                <w:szCs w:val="24"/>
                <w:lang w:eastAsia="en-GB"/>
              </w:rPr>
              <w:t xml:space="preserve">We will improve the processing times of planning applications and enforcement cases by implementing the Planning Service Improvement </w:t>
            </w:r>
            <w:proofErr w:type="spellStart"/>
            <w:r w:rsidRPr="009E1B49">
              <w:rPr>
                <w:rFonts w:ascii="Tahoma" w:eastAsia="Times New Roman" w:hAnsi="Tahoma" w:cs="Tahoma"/>
                <w:sz w:val="24"/>
                <w:szCs w:val="24"/>
                <w:lang w:eastAsia="en-GB"/>
              </w:rPr>
              <w:t>Programme</w:t>
            </w:r>
            <w:proofErr w:type="spellEnd"/>
          </w:p>
          <w:p w14:paraId="1D73C4F9" w14:textId="77777777" w:rsidR="0087377D" w:rsidRDefault="0087377D" w:rsidP="004559A4">
            <w:pPr>
              <w:spacing w:after="0" w:line="240" w:lineRule="auto"/>
              <w:rPr>
                <w:rFonts w:ascii="Tahoma" w:eastAsia="Times New Roman" w:hAnsi="Tahoma" w:cs="Tahoma"/>
                <w:sz w:val="24"/>
                <w:szCs w:val="24"/>
                <w:lang w:val="en-GB" w:eastAsia="en-GB"/>
              </w:rPr>
            </w:pPr>
          </w:p>
          <w:p w14:paraId="1B335583" w14:textId="103FB24F" w:rsidR="004F0F7A" w:rsidRPr="004559A4" w:rsidRDefault="004F0F7A" w:rsidP="004559A4">
            <w:pPr>
              <w:spacing w:after="0" w:line="240" w:lineRule="auto"/>
              <w:rPr>
                <w:rFonts w:ascii="Tahoma" w:eastAsia="Times New Roman" w:hAnsi="Tahoma" w:cs="Tahoma"/>
                <w:sz w:val="24"/>
                <w:szCs w:val="24"/>
                <w:lang w:val="en-GB" w:eastAsia="en-GB"/>
              </w:rPr>
            </w:pPr>
          </w:p>
        </w:tc>
        <w:tc>
          <w:tcPr>
            <w:tcW w:w="1672" w:type="dxa"/>
          </w:tcPr>
          <w:p w14:paraId="1B645430" w14:textId="73B9DBF8" w:rsidR="004559A4" w:rsidRPr="004559A4" w:rsidRDefault="00EF58A2" w:rsidP="00781C5B">
            <w:pPr>
              <w:spacing w:after="0" w:line="240" w:lineRule="auto"/>
              <w:rPr>
                <w:rFonts w:ascii="Tahoma" w:hAnsi="Tahoma" w:cs="Tahoma"/>
                <w:sz w:val="24"/>
                <w:szCs w:val="24"/>
              </w:rPr>
            </w:pPr>
            <w:r w:rsidRPr="004559A4">
              <w:rPr>
                <w:rFonts w:ascii="Tahoma" w:hAnsi="Tahoma" w:cs="Tahoma"/>
                <w:sz w:val="24"/>
                <w:szCs w:val="24"/>
              </w:rPr>
              <w:t>No EQIA considered necessary</w:t>
            </w:r>
          </w:p>
        </w:tc>
      </w:tr>
      <w:tr w:rsidR="009E1B49" w:rsidRPr="004559A4" w14:paraId="7C59AC00" w14:textId="77777777" w:rsidTr="00781C5B">
        <w:tc>
          <w:tcPr>
            <w:tcW w:w="2624" w:type="dxa"/>
          </w:tcPr>
          <w:p w14:paraId="0B8B9C51" w14:textId="07E83995" w:rsidR="009E1B49" w:rsidRPr="009E1B49" w:rsidRDefault="009E1B49" w:rsidP="00781C5B">
            <w:pPr>
              <w:spacing w:after="0" w:line="240" w:lineRule="auto"/>
              <w:rPr>
                <w:rFonts w:ascii="Tahoma" w:hAnsi="Tahoma" w:cs="Tahoma"/>
                <w:bCs/>
                <w:sz w:val="24"/>
                <w:szCs w:val="24"/>
                <w:lang w:val="en-GB"/>
              </w:rPr>
            </w:pPr>
            <w:r w:rsidRPr="009E1B49">
              <w:rPr>
                <w:rFonts w:ascii="Tahoma" w:hAnsi="Tahoma" w:cs="Tahoma"/>
                <w:bCs/>
                <w:sz w:val="24"/>
                <w:szCs w:val="24"/>
              </w:rPr>
              <w:lastRenderedPageBreak/>
              <w:t>Northern Ireland Enterprise Support Service (NIESS)</w:t>
            </w:r>
          </w:p>
        </w:tc>
        <w:tc>
          <w:tcPr>
            <w:tcW w:w="8534" w:type="dxa"/>
          </w:tcPr>
          <w:p w14:paraId="4FAC73C9" w14:textId="77777777" w:rsidR="004F0F7A" w:rsidRDefault="009E1B49" w:rsidP="009E1B49">
            <w:pPr>
              <w:spacing w:after="0" w:line="240" w:lineRule="auto"/>
              <w:rPr>
                <w:rFonts w:ascii="Tahoma" w:eastAsia="Times New Roman" w:hAnsi="Tahoma" w:cs="Tahoma"/>
                <w:sz w:val="24"/>
                <w:szCs w:val="24"/>
                <w:lang w:eastAsia="en-GB"/>
              </w:rPr>
            </w:pPr>
            <w:r>
              <w:rPr>
                <w:rFonts w:ascii="Tahoma" w:eastAsia="Times New Roman" w:hAnsi="Tahoma" w:cs="Tahoma"/>
                <w:sz w:val="24"/>
                <w:szCs w:val="24"/>
                <w:lang w:val="en-GB" w:eastAsia="en-GB"/>
              </w:rPr>
              <w:t>T</w:t>
            </w:r>
            <w:r w:rsidRPr="009E1B49">
              <w:rPr>
                <w:rFonts w:ascii="Tahoma" w:eastAsia="Times New Roman" w:hAnsi="Tahoma" w:cs="Tahoma"/>
                <w:sz w:val="24"/>
                <w:szCs w:val="24"/>
                <w:lang w:eastAsia="en-GB"/>
              </w:rPr>
              <w:t xml:space="preserve">he </w:t>
            </w:r>
            <w:proofErr w:type="spellStart"/>
            <w:r w:rsidRPr="009E1B49">
              <w:rPr>
                <w:rFonts w:ascii="Tahoma" w:eastAsia="Times New Roman" w:hAnsi="Tahoma" w:cs="Tahoma"/>
                <w:sz w:val="24"/>
                <w:szCs w:val="24"/>
                <w:lang w:eastAsia="en-GB"/>
              </w:rPr>
              <w:t>new</w:t>
            </w:r>
            <w:proofErr w:type="spellEnd"/>
            <w:r w:rsidRPr="009E1B49">
              <w:rPr>
                <w:rFonts w:ascii="Tahoma" w:eastAsia="Times New Roman" w:hAnsi="Tahoma" w:cs="Tahoma"/>
                <w:sz w:val="24"/>
                <w:szCs w:val="24"/>
                <w:lang w:eastAsia="en-GB"/>
              </w:rPr>
              <w:t xml:space="preserve"> Northern Ireland Enterprise Support Service (NIESS) aims to deliver a connected enterprise support service that enables individuals and businesses to access the relevant support services to meet their needs and the growth ambitions of their businesses. </w:t>
            </w:r>
          </w:p>
          <w:p w14:paraId="07EFA0B3" w14:textId="77777777" w:rsidR="004F0F7A" w:rsidRDefault="004F0F7A" w:rsidP="009E1B49">
            <w:pPr>
              <w:spacing w:after="0" w:line="240" w:lineRule="auto"/>
              <w:rPr>
                <w:rFonts w:ascii="Tahoma" w:eastAsia="Times New Roman" w:hAnsi="Tahoma" w:cs="Tahoma"/>
                <w:sz w:val="24"/>
                <w:szCs w:val="24"/>
                <w:lang w:eastAsia="en-GB"/>
              </w:rPr>
            </w:pPr>
          </w:p>
          <w:p w14:paraId="6CB5CF91" w14:textId="25E2C6C1" w:rsidR="009E1B49" w:rsidRDefault="009E1B49" w:rsidP="009E1B49">
            <w:pPr>
              <w:spacing w:after="0" w:line="240" w:lineRule="auto"/>
              <w:rPr>
                <w:rFonts w:ascii="Tahoma" w:eastAsia="Times New Roman" w:hAnsi="Tahoma" w:cs="Tahoma"/>
                <w:sz w:val="24"/>
                <w:szCs w:val="24"/>
                <w:lang w:eastAsia="en-GB"/>
              </w:rPr>
            </w:pPr>
            <w:r w:rsidRPr="009E1B49">
              <w:rPr>
                <w:rFonts w:ascii="Tahoma" w:eastAsia="Times New Roman" w:hAnsi="Tahoma" w:cs="Tahoma"/>
                <w:sz w:val="24"/>
                <w:szCs w:val="24"/>
                <w:lang w:eastAsia="en-GB"/>
              </w:rPr>
              <w:t xml:space="preserve">The scope of the services includes activity to be delivered under four elements, (engage, foundation, enabling growth, accelerated scaling) representing a continuum of support that will be required from pre-start support, through start-up and the growth journey thereafter. Each element may comprise of a range of projects or initiatives, each with their own area of focus and expertise to help individuals, entrepreneurs, and businesses in addition to the provision of grant funding. </w:t>
            </w:r>
          </w:p>
          <w:p w14:paraId="214E8144" w14:textId="77777777" w:rsidR="009E1B49" w:rsidRDefault="009E1B49" w:rsidP="009E1B49">
            <w:pPr>
              <w:spacing w:after="0" w:line="240" w:lineRule="auto"/>
              <w:rPr>
                <w:rFonts w:ascii="Tahoma" w:eastAsia="Times New Roman" w:hAnsi="Tahoma" w:cs="Tahoma"/>
                <w:sz w:val="24"/>
                <w:szCs w:val="24"/>
                <w:lang w:eastAsia="en-GB"/>
              </w:rPr>
            </w:pPr>
          </w:p>
          <w:p w14:paraId="375882A1" w14:textId="77777777" w:rsidR="009E1B49" w:rsidRDefault="009E1B49" w:rsidP="009E1B49">
            <w:pPr>
              <w:spacing w:after="0" w:line="240" w:lineRule="auto"/>
              <w:rPr>
                <w:rFonts w:ascii="Tahoma" w:eastAsia="Times New Roman" w:hAnsi="Tahoma" w:cs="Tahoma"/>
                <w:sz w:val="24"/>
                <w:szCs w:val="24"/>
                <w:lang w:eastAsia="en-GB"/>
              </w:rPr>
            </w:pPr>
            <w:r w:rsidRPr="009E1B49">
              <w:rPr>
                <w:rFonts w:ascii="Tahoma" w:eastAsia="Times New Roman" w:hAnsi="Tahoma" w:cs="Tahoma"/>
                <w:sz w:val="24"/>
                <w:szCs w:val="24"/>
                <w:lang w:eastAsia="en-GB"/>
              </w:rPr>
              <w:t xml:space="preserve">The key objectives of the NIESS align to the 10x Economic Strategy, </w:t>
            </w:r>
            <w:proofErr w:type="spellStart"/>
            <w:r w:rsidRPr="009E1B49">
              <w:rPr>
                <w:rFonts w:ascii="Tahoma" w:eastAsia="Times New Roman" w:hAnsi="Tahoma" w:cs="Tahoma"/>
                <w:sz w:val="24"/>
                <w:szCs w:val="24"/>
                <w:lang w:eastAsia="en-GB"/>
              </w:rPr>
              <w:t>Programme</w:t>
            </w:r>
            <w:proofErr w:type="spellEnd"/>
            <w:r w:rsidRPr="009E1B49">
              <w:rPr>
                <w:rFonts w:ascii="Tahoma" w:eastAsia="Times New Roman" w:hAnsi="Tahoma" w:cs="Tahoma"/>
                <w:sz w:val="24"/>
                <w:szCs w:val="24"/>
                <w:lang w:eastAsia="en-GB"/>
              </w:rPr>
              <w:t xml:space="preserve"> for Government, DFE Economic Recovery Action Plan, City &amp; Growth Deals, and the Community Plans of local Councils, in particular: </w:t>
            </w:r>
          </w:p>
          <w:p w14:paraId="3C2E0DF1" w14:textId="25BF8493" w:rsidR="009E1B49" w:rsidRPr="004F0F7A" w:rsidRDefault="009E1B49" w:rsidP="004F0F7A">
            <w:pPr>
              <w:pStyle w:val="ListParagraph"/>
              <w:numPr>
                <w:ilvl w:val="0"/>
                <w:numId w:val="23"/>
              </w:numPr>
              <w:rPr>
                <w:rFonts w:ascii="Tahoma" w:hAnsi="Tahoma" w:cs="Tahoma"/>
              </w:rPr>
            </w:pPr>
            <w:r w:rsidRPr="004F0F7A">
              <w:rPr>
                <w:rFonts w:ascii="Tahoma" w:hAnsi="Tahoma" w:cs="Tahoma"/>
              </w:rPr>
              <w:t xml:space="preserve">Creating employment and opportunity </w:t>
            </w:r>
          </w:p>
          <w:p w14:paraId="33761C52" w14:textId="23ECCBE2" w:rsidR="009E1B49" w:rsidRPr="004F0F7A" w:rsidRDefault="009E1B49" w:rsidP="004F0F7A">
            <w:pPr>
              <w:pStyle w:val="ListParagraph"/>
              <w:numPr>
                <w:ilvl w:val="0"/>
                <w:numId w:val="23"/>
              </w:numPr>
              <w:rPr>
                <w:rFonts w:ascii="Tahoma" w:hAnsi="Tahoma" w:cs="Tahoma"/>
              </w:rPr>
            </w:pPr>
            <w:r w:rsidRPr="004F0F7A">
              <w:rPr>
                <w:rFonts w:ascii="Tahoma" w:hAnsi="Tahoma" w:cs="Tahoma"/>
              </w:rPr>
              <w:t xml:space="preserve">Fostering business growth </w:t>
            </w:r>
          </w:p>
          <w:p w14:paraId="2A87E031" w14:textId="64C7BC9C" w:rsidR="009E1B49" w:rsidRPr="004F0F7A" w:rsidRDefault="009E1B49" w:rsidP="004F0F7A">
            <w:pPr>
              <w:pStyle w:val="ListParagraph"/>
              <w:numPr>
                <w:ilvl w:val="0"/>
                <w:numId w:val="23"/>
              </w:numPr>
              <w:rPr>
                <w:rFonts w:ascii="Tahoma" w:hAnsi="Tahoma" w:cs="Tahoma"/>
              </w:rPr>
            </w:pPr>
            <w:r w:rsidRPr="004F0F7A">
              <w:rPr>
                <w:rFonts w:ascii="Tahoma" w:hAnsi="Tahoma" w:cs="Tahoma"/>
              </w:rPr>
              <w:t xml:space="preserve">Strengthening business relationships and making it easy to do </w:t>
            </w:r>
            <w:proofErr w:type="gramStart"/>
            <w:r w:rsidRPr="004F0F7A">
              <w:rPr>
                <w:rFonts w:ascii="Tahoma" w:hAnsi="Tahoma" w:cs="Tahoma"/>
              </w:rPr>
              <w:t>business</w:t>
            </w:r>
            <w:proofErr w:type="gramEnd"/>
            <w:r w:rsidRPr="004F0F7A">
              <w:rPr>
                <w:rFonts w:ascii="Tahoma" w:hAnsi="Tahoma" w:cs="Tahoma"/>
              </w:rPr>
              <w:t xml:space="preserve"> </w:t>
            </w:r>
          </w:p>
          <w:p w14:paraId="4297175E" w14:textId="36F38E2E" w:rsidR="009E1B49" w:rsidRPr="004F0F7A" w:rsidRDefault="009E1B49" w:rsidP="004F0F7A">
            <w:pPr>
              <w:pStyle w:val="ListParagraph"/>
              <w:numPr>
                <w:ilvl w:val="0"/>
                <w:numId w:val="23"/>
              </w:numPr>
              <w:rPr>
                <w:rFonts w:ascii="Tahoma" w:hAnsi="Tahoma" w:cs="Tahoma"/>
              </w:rPr>
            </w:pPr>
            <w:r w:rsidRPr="004F0F7A">
              <w:rPr>
                <w:rFonts w:ascii="Tahoma" w:hAnsi="Tahoma" w:cs="Tahoma"/>
              </w:rPr>
              <w:t xml:space="preserve">Reducing economic inequalities </w:t>
            </w:r>
          </w:p>
          <w:p w14:paraId="7006499B" w14:textId="4405F440" w:rsidR="009E1B49" w:rsidRPr="004F0F7A" w:rsidRDefault="009E1B49" w:rsidP="004F0F7A">
            <w:pPr>
              <w:pStyle w:val="ListParagraph"/>
              <w:numPr>
                <w:ilvl w:val="0"/>
                <w:numId w:val="23"/>
              </w:numPr>
              <w:rPr>
                <w:rFonts w:ascii="Tahoma" w:hAnsi="Tahoma" w:cs="Tahoma"/>
              </w:rPr>
            </w:pPr>
            <w:r w:rsidRPr="004F0F7A">
              <w:rPr>
                <w:rFonts w:ascii="Tahoma" w:hAnsi="Tahoma" w:cs="Tahoma"/>
              </w:rPr>
              <w:t xml:space="preserve">Address barriers to employment at structural and personal levels </w:t>
            </w:r>
          </w:p>
          <w:p w14:paraId="679A37AF" w14:textId="22F2EC54" w:rsidR="009E1B49" w:rsidRPr="004F0F7A" w:rsidRDefault="009E1B49" w:rsidP="004F0F7A">
            <w:pPr>
              <w:pStyle w:val="ListParagraph"/>
              <w:numPr>
                <w:ilvl w:val="0"/>
                <w:numId w:val="23"/>
              </w:numPr>
              <w:rPr>
                <w:rFonts w:ascii="Tahoma" w:hAnsi="Tahoma" w:cs="Tahoma"/>
              </w:rPr>
            </w:pPr>
            <w:r w:rsidRPr="004F0F7A">
              <w:rPr>
                <w:rFonts w:ascii="Tahoma" w:hAnsi="Tahoma" w:cs="Tahoma"/>
              </w:rPr>
              <w:t xml:space="preserve">Address educational inequalities and increase skills </w:t>
            </w:r>
            <w:proofErr w:type="gramStart"/>
            <w:r w:rsidRPr="004F0F7A">
              <w:rPr>
                <w:rFonts w:ascii="Tahoma" w:hAnsi="Tahoma" w:cs="Tahoma"/>
              </w:rPr>
              <w:t>attainment</w:t>
            </w:r>
            <w:proofErr w:type="gramEnd"/>
            <w:r w:rsidRPr="004F0F7A">
              <w:rPr>
                <w:rFonts w:ascii="Tahoma" w:hAnsi="Tahoma" w:cs="Tahoma"/>
              </w:rPr>
              <w:t xml:space="preserve"> </w:t>
            </w:r>
          </w:p>
          <w:p w14:paraId="01CADEEF" w14:textId="13E473C8" w:rsidR="009E1B49" w:rsidRPr="004F0F7A" w:rsidRDefault="009E1B49" w:rsidP="004F0F7A">
            <w:pPr>
              <w:pStyle w:val="ListParagraph"/>
              <w:numPr>
                <w:ilvl w:val="0"/>
                <w:numId w:val="23"/>
              </w:numPr>
              <w:rPr>
                <w:rFonts w:ascii="Tahoma" w:hAnsi="Tahoma" w:cs="Tahoma"/>
              </w:rPr>
            </w:pPr>
            <w:r w:rsidRPr="004F0F7A">
              <w:rPr>
                <w:rFonts w:ascii="Tahoma" w:hAnsi="Tahoma" w:cs="Tahoma"/>
              </w:rPr>
              <w:t xml:space="preserve">Reduce poverty and economic </w:t>
            </w:r>
            <w:proofErr w:type="gramStart"/>
            <w:r w:rsidRPr="004F0F7A">
              <w:rPr>
                <w:rFonts w:ascii="Tahoma" w:hAnsi="Tahoma" w:cs="Tahoma"/>
              </w:rPr>
              <w:t>inactivity</w:t>
            </w:r>
            <w:proofErr w:type="gramEnd"/>
            <w:r w:rsidRPr="004F0F7A">
              <w:rPr>
                <w:rFonts w:ascii="Tahoma" w:hAnsi="Tahoma" w:cs="Tahoma"/>
              </w:rPr>
              <w:t xml:space="preserve"> </w:t>
            </w:r>
          </w:p>
          <w:p w14:paraId="7D70954F" w14:textId="63F24A6D" w:rsidR="009E1B49" w:rsidRPr="004F0F7A" w:rsidRDefault="009E1B49" w:rsidP="004F0F7A">
            <w:pPr>
              <w:pStyle w:val="ListParagraph"/>
              <w:numPr>
                <w:ilvl w:val="0"/>
                <w:numId w:val="23"/>
              </w:numPr>
              <w:rPr>
                <w:rFonts w:ascii="Tahoma" w:hAnsi="Tahoma" w:cs="Tahoma"/>
              </w:rPr>
            </w:pPr>
            <w:r w:rsidRPr="004F0F7A">
              <w:rPr>
                <w:rFonts w:ascii="Tahoma" w:hAnsi="Tahoma" w:cs="Tahoma"/>
              </w:rPr>
              <w:t xml:space="preserve">Requirement for a long-term business start </w:t>
            </w:r>
            <w:proofErr w:type="gramStart"/>
            <w:r w:rsidRPr="004F0F7A">
              <w:rPr>
                <w:rFonts w:ascii="Tahoma" w:hAnsi="Tahoma" w:cs="Tahoma"/>
              </w:rPr>
              <w:t>interventions</w:t>
            </w:r>
            <w:proofErr w:type="gramEnd"/>
            <w:r w:rsidRPr="004F0F7A">
              <w:rPr>
                <w:rFonts w:ascii="Tahoma" w:hAnsi="Tahoma" w:cs="Tahoma"/>
              </w:rPr>
              <w:t xml:space="preserve"> </w:t>
            </w:r>
          </w:p>
          <w:p w14:paraId="6AC95A5E" w14:textId="5C7E059B" w:rsidR="009E1B49" w:rsidRPr="004F0F7A" w:rsidRDefault="009E1B49" w:rsidP="004F0F7A">
            <w:pPr>
              <w:pStyle w:val="ListParagraph"/>
              <w:numPr>
                <w:ilvl w:val="0"/>
                <w:numId w:val="23"/>
              </w:numPr>
              <w:rPr>
                <w:rFonts w:ascii="Tahoma" w:hAnsi="Tahoma" w:cs="Tahoma"/>
              </w:rPr>
            </w:pPr>
            <w:r w:rsidRPr="004F0F7A">
              <w:rPr>
                <w:rFonts w:ascii="Tahoma" w:hAnsi="Tahoma" w:cs="Tahoma"/>
              </w:rPr>
              <w:t xml:space="preserve">UK government drive to push out the “levelling up” agenda, and need to consider models for local delivery of targeted 2 </w:t>
            </w:r>
            <w:proofErr w:type="gramStart"/>
            <w:r w:rsidRPr="004F0F7A">
              <w:rPr>
                <w:rFonts w:ascii="Tahoma" w:hAnsi="Tahoma" w:cs="Tahoma"/>
              </w:rPr>
              <w:t>interventions</w:t>
            </w:r>
            <w:proofErr w:type="gramEnd"/>
            <w:r w:rsidRPr="004F0F7A">
              <w:rPr>
                <w:rFonts w:ascii="Tahoma" w:hAnsi="Tahoma" w:cs="Tahoma"/>
              </w:rPr>
              <w:t xml:space="preserve"> </w:t>
            </w:r>
          </w:p>
          <w:p w14:paraId="1CA56E8E" w14:textId="3580D7B6" w:rsidR="009E1B49" w:rsidRPr="004F0F7A" w:rsidRDefault="009E1B49" w:rsidP="004F0F7A">
            <w:pPr>
              <w:pStyle w:val="ListParagraph"/>
              <w:numPr>
                <w:ilvl w:val="0"/>
                <w:numId w:val="23"/>
              </w:numPr>
              <w:rPr>
                <w:rFonts w:ascii="Tahoma" w:hAnsi="Tahoma" w:cs="Tahoma"/>
              </w:rPr>
            </w:pPr>
            <w:r w:rsidRPr="004F0F7A">
              <w:rPr>
                <w:rFonts w:ascii="Tahoma" w:hAnsi="Tahoma" w:cs="Tahoma"/>
              </w:rPr>
              <w:t xml:space="preserve">Development of new ways of working such as </w:t>
            </w:r>
            <w:proofErr w:type="spellStart"/>
            <w:r w:rsidRPr="004F0F7A">
              <w:rPr>
                <w:rFonts w:ascii="Tahoma" w:hAnsi="Tahoma" w:cs="Tahoma"/>
              </w:rPr>
              <w:t>Labour</w:t>
            </w:r>
            <w:proofErr w:type="spellEnd"/>
            <w:r w:rsidRPr="004F0F7A">
              <w:rPr>
                <w:rFonts w:ascii="Tahoma" w:hAnsi="Tahoma" w:cs="Tahoma"/>
              </w:rPr>
              <w:t xml:space="preserve"> Market Partnerships, which create templates for alternative partnership approaches with councils at the core in “bridging” local need with regional/national policy. </w:t>
            </w:r>
          </w:p>
          <w:p w14:paraId="3432DF71" w14:textId="77777777" w:rsidR="009E1B49" w:rsidRDefault="009E1B49" w:rsidP="009E1B49">
            <w:pPr>
              <w:spacing w:after="0" w:line="240" w:lineRule="auto"/>
              <w:rPr>
                <w:rFonts w:ascii="Tahoma" w:eastAsia="Times New Roman" w:hAnsi="Tahoma" w:cs="Tahoma"/>
                <w:sz w:val="24"/>
                <w:szCs w:val="24"/>
                <w:lang w:eastAsia="en-GB"/>
              </w:rPr>
            </w:pPr>
          </w:p>
          <w:p w14:paraId="4B1CA8D2" w14:textId="25855C27" w:rsidR="009E1B49" w:rsidRDefault="009E1B49" w:rsidP="009E1B49">
            <w:pPr>
              <w:spacing w:after="0" w:line="240" w:lineRule="auto"/>
              <w:rPr>
                <w:rFonts w:ascii="Tahoma" w:eastAsia="Times New Roman" w:hAnsi="Tahoma" w:cs="Tahoma"/>
                <w:sz w:val="24"/>
                <w:szCs w:val="24"/>
                <w:lang w:eastAsia="en-GB"/>
              </w:rPr>
            </w:pPr>
            <w:r w:rsidRPr="009E1B49">
              <w:rPr>
                <w:rFonts w:ascii="Tahoma" w:eastAsia="Times New Roman" w:hAnsi="Tahoma" w:cs="Tahoma"/>
                <w:sz w:val="24"/>
                <w:szCs w:val="24"/>
                <w:lang w:eastAsia="en-GB"/>
              </w:rPr>
              <w:t>The NIESS will provide an offer than can meet future ambitions whilst ensuring an inclusive approach, where local ecosystems in each Local Government District will be able to cater for a diverse range of entrepreneurs and enterprise types</w:t>
            </w:r>
            <w:r>
              <w:rPr>
                <w:rFonts w:ascii="Tahoma" w:eastAsia="Times New Roman" w:hAnsi="Tahoma" w:cs="Tahoma"/>
                <w:sz w:val="24"/>
                <w:szCs w:val="24"/>
                <w:lang w:eastAsia="en-GB"/>
              </w:rPr>
              <w:t>.</w:t>
            </w:r>
          </w:p>
          <w:p w14:paraId="3C35BFB2" w14:textId="77777777" w:rsidR="009E1B49" w:rsidRDefault="009E1B49" w:rsidP="009E1B49">
            <w:pPr>
              <w:spacing w:after="0" w:line="240" w:lineRule="auto"/>
              <w:rPr>
                <w:rFonts w:ascii="Tahoma" w:eastAsia="Times New Roman" w:hAnsi="Tahoma" w:cs="Tahoma"/>
                <w:sz w:val="24"/>
                <w:szCs w:val="24"/>
                <w:lang w:val="en-GB" w:eastAsia="en-GB"/>
              </w:rPr>
            </w:pPr>
          </w:p>
          <w:p w14:paraId="05F89018" w14:textId="118EF3FD" w:rsidR="004F0F7A" w:rsidRPr="009E1B49" w:rsidRDefault="004F0F7A" w:rsidP="009E1B49">
            <w:pPr>
              <w:spacing w:after="0" w:line="240" w:lineRule="auto"/>
              <w:rPr>
                <w:rFonts w:ascii="Tahoma" w:eastAsia="Times New Roman" w:hAnsi="Tahoma" w:cs="Tahoma"/>
                <w:sz w:val="24"/>
                <w:szCs w:val="24"/>
                <w:lang w:val="en-GB" w:eastAsia="en-GB"/>
              </w:rPr>
            </w:pPr>
          </w:p>
        </w:tc>
        <w:tc>
          <w:tcPr>
            <w:tcW w:w="1672" w:type="dxa"/>
          </w:tcPr>
          <w:p w14:paraId="2BBC92D4" w14:textId="64148B05" w:rsidR="009E1B49" w:rsidRPr="004559A4" w:rsidRDefault="004F0F7A" w:rsidP="00781C5B">
            <w:pPr>
              <w:spacing w:after="0" w:line="240" w:lineRule="auto"/>
              <w:rPr>
                <w:rFonts w:ascii="Tahoma" w:hAnsi="Tahoma" w:cs="Tahoma"/>
                <w:sz w:val="24"/>
                <w:szCs w:val="24"/>
              </w:rPr>
            </w:pPr>
            <w:r w:rsidRPr="004559A4">
              <w:rPr>
                <w:rFonts w:ascii="Tahoma" w:hAnsi="Tahoma" w:cs="Tahoma"/>
                <w:sz w:val="24"/>
                <w:szCs w:val="24"/>
              </w:rPr>
              <w:lastRenderedPageBreak/>
              <w:t>No EQIA considered necessary</w:t>
            </w:r>
          </w:p>
        </w:tc>
      </w:tr>
      <w:tr w:rsidR="009E1B49" w:rsidRPr="004559A4" w14:paraId="0978FB25" w14:textId="77777777" w:rsidTr="00781C5B">
        <w:tc>
          <w:tcPr>
            <w:tcW w:w="2624" w:type="dxa"/>
          </w:tcPr>
          <w:p w14:paraId="5FBA9BFD" w14:textId="0B46C9B5" w:rsidR="009E1B49" w:rsidRPr="009E1B49" w:rsidRDefault="004F0F7A" w:rsidP="00781C5B">
            <w:pPr>
              <w:spacing w:after="0" w:line="240" w:lineRule="auto"/>
              <w:rPr>
                <w:rFonts w:ascii="Tahoma" w:hAnsi="Tahoma" w:cs="Tahoma"/>
                <w:bCs/>
                <w:sz w:val="24"/>
                <w:szCs w:val="24"/>
                <w:lang w:val="en-GB"/>
              </w:rPr>
            </w:pPr>
            <w:r w:rsidRPr="004F0F7A">
              <w:rPr>
                <w:rFonts w:ascii="Tahoma" w:hAnsi="Tahoma" w:cs="Tahoma"/>
                <w:bCs/>
                <w:sz w:val="24"/>
                <w:szCs w:val="24"/>
                <w:lang w:val="en-GB"/>
              </w:rPr>
              <w:lastRenderedPageBreak/>
              <w:t xml:space="preserve">Retention &amp; Disposal Schedule  </w:t>
            </w:r>
          </w:p>
        </w:tc>
        <w:tc>
          <w:tcPr>
            <w:tcW w:w="8534" w:type="dxa"/>
          </w:tcPr>
          <w:p w14:paraId="071A4A70" w14:textId="77777777" w:rsidR="004F0F7A" w:rsidRDefault="004F0F7A" w:rsidP="004F0F7A">
            <w:pPr>
              <w:spacing w:after="0" w:line="240" w:lineRule="auto"/>
              <w:rPr>
                <w:rFonts w:ascii="Tahoma" w:eastAsia="Times New Roman" w:hAnsi="Tahoma" w:cs="Tahoma"/>
                <w:bCs/>
                <w:sz w:val="24"/>
                <w:szCs w:val="24"/>
                <w:lang w:val="en-GB" w:eastAsia="en-GB"/>
              </w:rPr>
            </w:pPr>
            <w:r w:rsidRPr="004F0F7A">
              <w:rPr>
                <w:rFonts w:ascii="Tahoma" w:eastAsia="Times New Roman" w:hAnsi="Tahoma" w:cs="Tahoma"/>
                <w:bCs/>
                <w:sz w:val="24"/>
                <w:szCs w:val="24"/>
                <w:lang w:val="en-GB" w:eastAsia="en-GB"/>
              </w:rPr>
              <w:t xml:space="preserve">This document sets out the minimum time periods for which the various records created by Newry Mourne and Down District Council should be retained, either due to their ongoing administrative value or </w:t>
            </w:r>
            <w:proofErr w:type="gramStart"/>
            <w:r w:rsidRPr="004F0F7A">
              <w:rPr>
                <w:rFonts w:ascii="Tahoma" w:eastAsia="Times New Roman" w:hAnsi="Tahoma" w:cs="Tahoma"/>
                <w:bCs/>
                <w:sz w:val="24"/>
                <w:szCs w:val="24"/>
                <w:lang w:val="en-GB" w:eastAsia="en-GB"/>
              </w:rPr>
              <w:t>as a result of</w:t>
            </w:r>
            <w:proofErr w:type="gramEnd"/>
            <w:r w:rsidRPr="004F0F7A">
              <w:rPr>
                <w:rFonts w:ascii="Tahoma" w:eastAsia="Times New Roman" w:hAnsi="Tahoma" w:cs="Tahoma"/>
                <w:bCs/>
                <w:sz w:val="24"/>
                <w:szCs w:val="24"/>
                <w:lang w:val="en-GB" w:eastAsia="en-GB"/>
              </w:rPr>
              <w:t xml:space="preserve"> statutory requirements. </w:t>
            </w:r>
          </w:p>
          <w:p w14:paraId="06972404" w14:textId="77777777" w:rsidR="004F0F7A" w:rsidRDefault="004F0F7A" w:rsidP="004F0F7A">
            <w:pPr>
              <w:spacing w:after="0" w:line="240" w:lineRule="auto"/>
              <w:rPr>
                <w:rFonts w:ascii="Tahoma" w:eastAsia="Times New Roman" w:hAnsi="Tahoma" w:cs="Tahoma"/>
                <w:bCs/>
                <w:sz w:val="24"/>
                <w:szCs w:val="24"/>
                <w:lang w:val="en-GB" w:eastAsia="en-GB"/>
              </w:rPr>
            </w:pPr>
          </w:p>
          <w:p w14:paraId="2F8A5FC5" w14:textId="16A65853" w:rsidR="004F0F7A" w:rsidRPr="004F0F7A" w:rsidRDefault="004F0F7A" w:rsidP="004F0F7A">
            <w:pPr>
              <w:spacing w:after="0" w:line="240" w:lineRule="auto"/>
              <w:rPr>
                <w:rFonts w:ascii="Tahoma" w:eastAsia="Times New Roman" w:hAnsi="Tahoma" w:cs="Tahoma"/>
                <w:bCs/>
                <w:sz w:val="24"/>
                <w:szCs w:val="24"/>
                <w:lang w:val="en-GB" w:eastAsia="en-GB"/>
              </w:rPr>
            </w:pPr>
            <w:r w:rsidRPr="004F0F7A">
              <w:rPr>
                <w:rFonts w:ascii="Tahoma" w:eastAsia="Times New Roman" w:hAnsi="Tahoma" w:cs="Tahoma"/>
                <w:bCs/>
                <w:sz w:val="24"/>
                <w:szCs w:val="24"/>
                <w:lang w:val="en-GB" w:eastAsia="en-GB"/>
              </w:rPr>
              <w:t xml:space="preserve">It will enable the Council to dispose of records promptly when they cease to be of any continuing administrative/legal value and will identify records which should be transferred to the Public Record Office of Northern Ireland (PRONI) because of their long-term historical/research value. The schedule complies with the requirements in the Public Records Act (NI) 1923 and the Disposal of Documents Order (S.R.&amp; O.1925 No 167). </w:t>
            </w:r>
          </w:p>
          <w:p w14:paraId="4A8797B1" w14:textId="77777777" w:rsidR="009E1B49" w:rsidRDefault="009E1B49" w:rsidP="009E1B49">
            <w:pPr>
              <w:spacing w:after="0" w:line="240" w:lineRule="auto"/>
              <w:rPr>
                <w:rFonts w:ascii="Tahoma" w:eastAsia="Times New Roman" w:hAnsi="Tahoma" w:cs="Tahoma"/>
                <w:sz w:val="24"/>
                <w:szCs w:val="24"/>
                <w:lang w:val="en-GB" w:eastAsia="en-GB"/>
              </w:rPr>
            </w:pPr>
          </w:p>
          <w:p w14:paraId="14FF15D3" w14:textId="77777777" w:rsidR="004F0F7A" w:rsidRPr="009E1B49" w:rsidRDefault="004F0F7A" w:rsidP="009E1B49">
            <w:pPr>
              <w:spacing w:after="0" w:line="240" w:lineRule="auto"/>
              <w:rPr>
                <w:rFonts w:ascii="Tahoma" w:eastAsia="Times New Roman" w:hAnsi="Tahoma" w:cs="Tahoma"/>
                <w:sz w:val="24"/>
                <w:szCs w:val="24"/>
                <w:lang w:val="en-GB" w:eastAsia="en-GB"/>
              </w:rPr>
            </w:pPr>
          </w:p>
        </w:tc>
        <w:tc>
          <w:tcPr>
            <w:tcW w:w="1672" w:type="dxa"/>
          </w:tcPr>
          <w:p w14:paraId="18F4FC1F" w14:textId="03263A27" w:rsidR="009E1B49" w:rsidRPr="004559A4" w:rsidRDefault="004F0F7A" w:rsidP="00781C5B">
            <w:pPr>
              <w:spacing w:after="0" w:line="240" w:lineRule="auto"/>
              <w:rPr>
                <w:rFonts w:ascii="Tahoma" w:hAnsi="Tahoma" w:cs="Tahoma"/>
                <w:sz w:val="24"/>
                <w:szCs w:val="24"/>
              </w:rPr>
            </w:pPr>
            <w:r w:rsidRPr="004559A4">
              <w:rPr>
                <w:rFonts w:ascii="Tahoma" w:hAnsi="Tahoma" w:cs="Tahoma"/>
                <w:sz w:val="24"/>
                <w:szCs w:val="24"/>
              </w:rPr>
              <w:t>No EQIA considered necessary</w:t>
            </w:r>
          </w:p>
        </w:tc>
      </w:tr>
    </w:tbl>
    <w:p w14:paraId="1D06AA31" w14:textId="77777777" w:rsidR="00B7521C" w:rsidRPr="00081555" w:rsidRDefault="00B7521C" w:rsidP="00E81D39">
      <w:pPr>
        <w:rPr>
          <w:rFonts w:ascii="Arial" w:hAnsi="Arial" w:cs="Arial"/>
          <w:sz w:val="24"/>
          <w:szCs w:val="24"/>
          <w:lang w:val="en-GB"/>
        </w:rPr>
      </w:pPr>
    </w:p>
    <w:sectPr w:rsidR="00B7521C" w:rsidRPr="00081555" w:rsidSect="00B7521C">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B1733" w14:textId="77777777" w:rsidR="00164EB9" w:rsidRDefault="00164EB9">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39FDD6E0" w14:textId="77777777" w:rsidR="00164EB9" w:rsidRDefault="00164EB9">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BED7F" w14:textId="77777777" w:rsidR="00164EB9" w:rsidRDefault="00164EB9">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5015019B" w14:textId="77777777" w:rsidR="00164EB9" w:rsidRDefault="00164EB9">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2ED"/>
    <w:multiLevelType w:val="hybridMultilevel"/>
    <w:tmpl w:val="5FFEE922"/>
    <w:lvl w:ilvl="0" w:tplc="410AA4EE">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94EC1"/>
    <w:multiLevelType w:val="hybridMultilevel"/>
    <w:tmpl w:val="A3F47164"/>
    <w:lvl w:ilvl="0" w:tplc="08090001">
      <w:start w:val="1"/>
      <w:numFmt w:val="bullet"/>
      <w:lvlText w:val=""/>
      <w:lvlJc w:val="left"/>
      <w:pPr>
        <w:ind w:left="397" w:hanging="360"/>
      </w:pPr>
      <w:rPr>
        <w:rFonts w:ascii="Symbol" w:hAnsi="Symbol" w:hint="default"/>
      </w:rPr>
    </w:lvl>
    <w:lvl w:ilvl="1" w:tplc="08090003" w:tentative="1">
      <w:start w:val="1"/>
      <w:numFmt w:val="bullet"/>
      <w:lvlText w:val="o"/>
      <w:lvlJc w:val="left"/>
      <w:pPr>
        <w:ind w:left="1117" w:hanging="360"/>
      </w:pPr>
      <w:rPr>
        <w:rFonts w:ascii="Courier New" w:hAnsi="Courier New" w:cs="Courier New" w:hint="default"/>
      </w:rPr>
    </w:lvl>
    <w:lvl w:ilvl="2" w:tplc="08090005" w:tentative="1">
      <w:start w:val="1"/>
      <w:numFmt w:val="bullet"/>
      <w:lvlText w:val=""/>
      <w:lvlJc w:val="left"/>
      <w:pPr>
        <w:ind w:left="1837" w:hanging="360"/>
      </w:pPr>
      <w:rPr>
        <w:rFonts w:ascii="Wingdings" w:hAnsi="Wingdings" w:hint="default"/>
      </w:rPr>
    </w:lvl>
    <w:lvl w:ilvl="3" w:tplc="08090001" w:tentative="1">
      <w:start w:val="1"/>
      <w:numFmt w:val="bullet"/>
      <w:lvlText w:val=""/>
      <w:lvlJc w:val="left"/>
      <w:pPr>
        <w:ind w:left="2557" w:hanging="360"/>
      </w:pPr>
      <w:rPr>
        <w:rFonts w:ascii="Symbol" w:hAnsi="Symbol" w:hint="default"/>
      </w:rPr>
    </w:lvl>
    <w:lvl w:ilvl="4" w:tplc="08090003" w:tentative="1">
      <w:start w:val="1"/>
      <w:numFmt w:val="bullet"/>
      <w:lvlText w:val="o"/>
      <w:lvlJc w:val="left"/>
      <w:pPr>
        <w:ind w:left="3277" w:hanging="360"/>
      </w:pPr>
      <w:rPr>
        <w:rFonts w:ascii="Courier New" w:hAnsi="Courier New" w:cs="Courier New" w:hint="default"/>
      </w:rPr>
    </w:lvl>
    <w:lvl w:ilvl="5" w:tplc="08090005" w:tentative="1">
      <w:start w:val="1"/>
      <w:numFmt w:val="bullet"/>
      <w:lvlText w:val=""/>
      <w:lvlJc w:val="left"/>
      <w:pPr>
        <w:ind w:left="3997" w:hanging="360"/>
      </w:pPr>
      <w:rPr>
        <w:rFonts w:ascii="Wingdings" w:hAnsi="Wingdings" w:hint="default"/>
      </w:rPr>
    </w:lvl>
    <w:lvl w:ilvl="6" w:tplc="08090001" w:tentative="1">
      <w:start w:val="1"/>
      <w:numFmt w:val="bullet"/>
      <w:lvlText w:val=""/>
      <w:lvlJc w:val="left"/>
      <w:pPr>
        <w:ind w:left="4717" w:hanging="360"/>
      </w:pPr>
      <w:rPr>
        <w:rFonts w:ascii="Symbol" w:hAnsi="Symbol" w:hint="default"/>
      </w:rPr>
    </w:lvl>
    <w:lvl w:ilvl="7" w:tplc="08090003" w:tentative="1">
      <w:start w:val="1"/>
      <w:numFmt w:val="bullet"/>
      <w:lvlText w:val="o"/>
      <w:lvlJc w:val="left"/>
      <w:pPr>
        <w:ind w:left="5437" w:hanging="360"/>
      </w:pPr>
      <w:rPr>
        <w:rFonts w:ascii="Courier New" w:hAnsi="Courier New" w:cs="Courier New" w:hint="default"/>
      </w:rPr>
    </w:lvl>
    <w:lvl w:ilvl="8" w:tplc="08090005" w:tentative="1">
      <w:start w:val="1"/>
      <w:numFmt w:val="bullet"/>
      <w:lvlText w:val=""/>
      <w:lvlJc w:val="left"/>
      <w:pPr>
        <w:ind w:left="6157" w:hanging="360"/>
      </w:pPr>
      <w:rPr>
        <w:rFonts w:ascii="Wingdings" w:hAnsi="Wingdings" w:hint="default"/>
      </w:rPr>
    </w:lvl>
  </w:abstractNum>
  <w:abstractNum w:abstractNumId="2" w15:restartNumberingAfterBreak="0">
    <w:nsid w:val="1061174E"/>
    <w:multiLevelType w:val="hybridMultilevel"/>
    <w:tmpl w:val="7EB6A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193E68"/>
    <w:multiLevelType w:val="hybridMultilevel"/>
    <w:tmpl w:val="DA9A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809BA"/>
    <w:multiLevelType w:val="hybridMultilevel"/>
    <w:tmpl w:val="BC58FD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012FC"/>
    <w:multiLevelType w:val="hybridMultilevel"/>
    <w:tmpl w:val="1F54465A"/>
    <w:lvl w:ilvl="0" w:tplc="25AED5C8">
      <w:numFmt w:val="bullet"/>
      <w:lvlText w:val="•"/>
      <w:lvlJc w:val="left"/>
      <w:pPr>
        <w:ind w:left="1440" w:hanging="72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915347"/>
    <w:multiLevelType w:val="hybridMultilevel"/>
    <w:tmpl w:val="442E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6F0E58"/>
    <w:multiLevelType w:val="hybridMultilevel"/>
    <w:tmpl w:val="DAD47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A91A70"/>
    <w:multiLevelType w:val="hybridMultilevel"/>
    <w:tmpl w:val="F7B214B0"/>
    <w:lvl w:ilvl="0" w:tplc="25AED5C8">
      <w:numFmt w:val="bullet"/>
      <w:lvlText w:val="•"/>
      <w:lvlJc w:val="left"/>
      <w:pPr>
        <w:ind w:left="108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E01A2D"/>
    <w:multiLevelType w:val="hybridMultilevel"/>
    <w:tmpl w:val="BB8A5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950E7C"/>
    <w:multiLevelType w:val="hybridMultilevel"/>
    <w:tmpl w:val="C90EDB18"/>
    <w:lvl w:ilvl="0" w:tplc="92D8E75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35794E"/>
    <w:multiLevelType w:val="hybridMultilevel"/>
    <w:tmpl w:val="E5A21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640C75"/>
    <w:multiLevelType w:val="hybridMultilevel"/>
    <w:tmpl w:val="3E581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944200"/>
    <w:multiLevelType w:val="hybridMultilevel"/>
    <w:tmpl w:val="78167EAC"/>
    <w:lvl w:ilvl="0" w:tplc="25AED5C8">
      <w:numFmt w:val="bullet"/>
      <w:lvlText w:val="•"/>
      <w:lvlJc w:val="left"/>
      <w:pPr>
        <w:ind w:left="108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C37765"/>
    <w:multiLevelType w:val="hybridMultilevel"/>
    <w:tmpl w:val="65060754"/>
    <w:lvl w:ilvl="0" w:tplc="08090001">
      <w:start w:val="1"/>
      <w:numFmt w:val="bullet"/>
      <w:lvlText w:val=""/>
      <w:lvlJc w:val="left"/>
      <w:pPr>
        <w:ind w:left="397" w:hanging="360"/>
      </w:pPr>
      <w:rPr>
        <w:rFonts w:ascii="Symbol" w:hAnsi="Symbol" w:hint="default"/>
      </w:rPr>
    </w:lvl>
    <w:lvl w:ilvl="1" w:tplc="08090003" w:tentative="1">
      <w:start w:val="1"/>
      <w:numFmt w:val="bullet"/>
      <w:lvlText w:val="o"/>
      <w:lvlJc w:val="left"/>
      <w:pPr>
        <w:ind w:left="1117" w:hanging="360"/>
      </w:pPr>
      <w:rPr>
        <w:rFonts w:ascii="Courier New" w:hAnsi="Courier New" w:cs="Courier New" w:hint="default"/>
      </w:rPr>
    </w:lvl>
    <w:lvl w:ilvl="2" w:tplc="08090005" w:tentative="1">
      <w:start w:val="1"/>
      <w:numFmt w:val="bullet"/>
      <w:lvlText w:val=""/>
      <w:lvlJc w:val="left"/>
      <w:pPr>
        <w:ind w:left="1837" w:hanging="360"/>
      </w:pPr>
      <w:rPr>
        <w:rFonts w:ascii="Wingdings" w:hAnsi="Wingdings" w:hint="default"/>
      </w:rPr>
    </w:lvl>
    <w:lvl w:ilvl="3" w:tplc="08090001" w:tentative="1">
      <w:start w:val="1"/>
      <w:numFmt w:val="bullet"/>
      <w:lvlText w:val=""/>
      <w:lvlJc w:val="left"/>
      <w:pPr>
        <w:ind w:left="2557" w:hanging="360"/>
      </w:pPr>
      <w:rPr>
        <w:rFonts w:ascii="Symbol" w:hAnsi="Symbol" w:hint="default"/>
      </w:rPr>
    </w:lvl>
    <w:lvl w:ilvl="4" w:tplc="08090003" w:tentative="1">
      <w:start w:val="1"/>
      <w:numFmt w:val="bullet"/>
      <w:lvlText w:val="o"/>
      <w:lvlJc w:val="left"/>
      <w:pPr>
        <w:ind w:left="3277" w:hanging="360"/>
      </w:pPr>
      <w:rPr>
        <w:rFonts w:ascii="Courier New" w:hAnsi="Courier New" w:cs="Courier New" w:hint="default"/>
      </w:rPr>
    </w:lvl>
    <w:lvl w:ilvl="5" w:tplc="08090005" w:tentative="1">
      <w:start w:val="1"/>
      <w:numFmt w:val="bullet"/>
      <w:lvlText w:val=""/>
      <w:lvlJc w:val="left"/>
      <w:pPr>
        <w:ind w:left="3997" w:hanging="360"/>
      </w:pPr>
      <w:rPr>
        <w:rFonts w:ascii="Wingdings" w:hAnsi="Wingdings" w:hint="default"/>
      </w:rPr>
    </w:lvl>
    <w:lvl w:ilvl="6" w:tplc="08090001" w:tentative="1">
      <w:start w:val="1"/>
      <w:numFmt w:val="bullet"/>
      <w:lvlText w:val=""/>
      <w:lvlJc w:val="left"/>
      <w:pPr>
        <w:ind w:left="4717" w:hanging="360"/>
      </w:pPr>
      <w:rPr>
        <w:rFonts w:ascii="Symbol" w:hAnsi="Symbol" w:hint="default"/>
      </w:rPr>
    </w:lvl>
    <w:lvl w:ilvl="7" w:tplc="08090003" w:tentative="1">
      <w:start w:val="1"/>
      <w:numFmt w:val="bullet"/>
      <w:lvlText w:val="o"/>
      <w:lvlJc w:val="left"/>
      <w:pPr>
        <w:ind w:left="5437" w:hanging="360"/>
      </w:pPr>
      <w:rPr>
        <w:rFonts w:ascii="Courier New" w:hAnsi="Courier New" w:cs="Courier New" w:hint="default"/>
      </w:rPr>
    </w:lvl>
    <w:lvl w:ilvl="8" w:tplc="08090005" w:tentative="1">
      <w:start w:val="1"/>
      <w:numFmt w:val="bullet"/>
      <w:lvlText w:val=""/>
      <w:lvlJc w:val="left"/>
      <w:pPr>
        <w:ind w:left="6157" w:hanging="360"/>
      </w:pPr>
      <w:rPr>
        <w:rFonts w:ascii="Wingdings" w:hAnsi="Wingdings" w:hint="default"/>
      </w:rPr>
    </w:lvl>
  </w:abstractNum>
  <w:abstractNum w:abstractNumId="15" w15:restartNumberingAfterBreak="0">
    <w:nsid w:val="621D4D0C"/>
    <w:multiLevelType w:val="hybridMultilevel"/>
    <w:tmpl w:val="3332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F875E2"/>
    <w:multiLevelType w:val="hybridMultilevel"/>
    <w:tmpl w:val="0AE08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DC6D66"/>
    <w:multiLevelType w:val="hybridMultilevel"/>
    <w:tmpl w:val="4306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994417"/>
    <w:multiLevelType w:val="hybridMultilevel"/>
    <w:tmpl w:val="EDD24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FF30D53"/>
    <w:multiLevelType w:val="hybridMultilevel"/>
    <w:tmpl w:val="C38A3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1A4A99"/>
    <w:multiLevelType w:val="hybridMultilevel"/>
    <w:tmpl w:val="69C07766"/>
    <w:lvl w:ilvl="0" w:tplc="92D8E75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4D217A"/>
    <w:multiLevelType w:val="hybridMultilevel"/>
    <w:tmpl w:val="128A8B44"/>
    <w:lvl w:ilvl="0" w:tplc="2250DFDC">
      <w:start w:val="1"/>
      <w:numFmt w:val="decimal"/>
      <w:lvlText w:val="%1"/>
      <w:lvlJc w:val="left"/>
      <w:pPr>
        <w:ind w:left="532" w:hanging="432"/>
      </w:pPr>
      <w:rPr>
        <w:rFonts w:ascii="Arial" w:eastAsia="Arial" w:hAnsi="Arial" w:cs="Arial" w:hint="default"/>
        <w:b/>
        <w:bCs/>
        <w:i w:val="0"/>
        <w:iCs w:val="0"/>
        <w:w w:val="99"/>
        <w:sz w:val="24"/>
        <w:szCs w:val="24"/>
        <w:lang w:val="en-US" w:eastAsia="en-US" w:bidi="ar-SA"/>
      </w:rPr>
    </w:lvl>
    <w:lvl w:ilvl="1" w:tplc="B10A71CA">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2" w:tplc="AB705B66">
      <w:numFmt w:val="bullet"/>
      <w:lvlText w:val="•"/>
      <w:lvlJc w:val="left"/>
      <w:pPr>
        <w:ind w:left="1756" w:hanging="360"/>
      </w:pPr>
      <w:rPr>
        <w:rFonts w:hint="default"/>
        <w:lang w:val="en-US" w:eastAsia="en-US" w:bidi="ar-SA"/>
      </w:rPr>
    </w:lvl>
    <w:lvl w:ilvl="3" w:tplc="C79AD7E6">
      <w:numFmt w:val="bullet"/>
      <w:lvlText w:val="•"/>
      <w:lvlJc w:val="left"/>
      <w:pPr>
        <w:ind w:left="2692" w:hanging="360"/>
      </w:pPr>
      <w:rPr>
        <w:rFonts w:hint="default"/>
        <w:lang w:val="en-US" w:eastAsia="en-US" w:bidi="ar-SA"/>
      </w:rPr>
    </w:lvl>
    <w:lvl w:ilvl="4" w:tplc="27D0BD04">
      <w:numFmt w:val="bullet"/>
      <w:lvlText w:val="•"/>
      <w:lvlJc w:val="left"/>
      <w:pPr>
        <w:ind w:left="3628" w:hanging="360"/>
      </w:pPr>
      <w:rPr>
        <w:rFonts w:hint="default"/>
        <w:lang w:val="en-US" w:eastAsia="en-US" w:bidi="ar-SA"/>
      </w:rPr>
    </w:lvl>
    <w:lvl w:ilvl="5" w:tplc="C764FC56">
      <w:numFmt w:val="bullet"/>
      <w:lvlText w:val="•"/>
      <w:lvlJc w:val="left"/>
      <w:pPr>
        <w:ind w:left="4565" w:hanging="360"/>
      </w:pPr>
      <w:rPr>
        <w:rFonts w:hint="default"/>
        <w:lang w:val="en-US" w:eastAsia="en-US" w:bidi="ar-SA"/>
      </w:rPr>
    </w:lvl>
    <w:lvl w:ilvl="6" w:tplc="0E009442">
      <w:numFmt w:val="bullet"/>
      <w:lvlText w:val="•"/>
      <w:lvlJc w:val="left"/>
      <w:pPr>
        <w:ind w:left="5501" w:hanging="360"/>
      </w:pPr>
      <w:rPr>
        <w:rFonts w:hint="default"/>
        <w:lang w:val="en-US" w:eastAsia="en-US" w:bidi="ar-SA"/>
      </w:rPr>
    </w:lvl>
    <w:lvl w:ilvl="7" w:tplc="258818D4">
      <w:numFmt w:val="bullet"/>
      <w:lvlText w:val="•"/>
      <w:lvlJc w:val="left"/>
      <w:pPr>
        <w:ind w:left="6437" w:hanging="360"/>
      </w:pPr>
      <w:rPr>
        <w:rFonts w:hint="default"/>
        <w:lang w:val="en-US" w:eastAsia="en-US" w:bidi="ar-SA"/>
      </w:rPr>
    </w:lvl>
    <w:lvl w:ilvl="8" w:tplc="D324B82E">
      <w:numFmt w:val="bullet"/>
      <w:lvlText w:val="•"/>
      <w:lvlJc w:val="left"/>
      <w:pPr>
        <w:ind w:left="7373" w:hanging="360"/>
      </w:pPr>
      <w:rPr>
        <w:rFonts w:hint="default"/>
        <w:lang w:val="en-US" w:eastAsia="en-US" w:bidi="ar-SA"/>
      </w:rPr>
    </w:lvl>
  </w:abstractNum>
  <w:abstractNum w:abstractNumId="22" w15:restartNumberingAfterBreak="0">
    <w:nsid w:val="742B6FDC"/>
    <w:multiLevelType w:val="hybridMultilevel"/>
    <w:tmpl w:val="58F41D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113872">
    <w:abstractNumId w:val="2"/>
  </w:num>
  <w:num w:numId="2" w16cid:durableId="1287269857">
    <w:abstractNumId w:val="9"/>
  </w:num>
  <w:num w:numId="3" w16cid:durableId="565532863">
    <w:abstractNumId w:val="17"/>
  </w:num>
  <w:num w:numId="4" w16cid:durableId="1166507147">
    <w:abstractNumId w:val="18"/>
  </w:num>
  <w:num w:numId="5" w16cid:durableId="1682780411">
    <w:abstractNumId w:val="0"/>
  </w:num>
  <w:num w:numId="6" w16cid:durableId="1520504782">
    <w:abstractNumId w:val="12"/>
  </w:num>
  <w:num w:numId="7" w16cid:durableId="687219070">
    <w:abstractNumId w:val="6"/>
  </w:num>
  <w:num w:numId="8" w16cid:durableId="1257788937">
    <w:abstractNumId w:val="3"/>
  </w:num>
  <w:num w:numId="9" w16cid:durableId="823356548">
    <w:abstractNumId w:val="15"/>
  </w:num>
  <w:num w:numId="10" w16cid:durableId="1222836307">
    <w:abstractNumId w:val="20"/>
  </w:num>
  <w:num w:numId="11" w16cid:durableId="1056902547">
    <w:abstractNumId w:val="10"/>
  </w:num>
  <w:num w:numId="12" w16cid:durableId="1949969421">
    <w:abstractNumId w:val="16"/>
  </w:num>
  <w:num w:numId="13" w16cid:durableId="2058047972">
    <w:abstractNumId w:val="1"/>
  </w:num>
  <w:num w:numId="14" w16cid:durableId="1302729722">
    <w:abstractNumId w:val="14"/>
  </w:num>
  <w:num w:numId="15" w16cid:durableId="1894196127">
    <w:abstractNumId w:val="4"/>
  </w:num>
  <w:num w:numId="16" w16cid:durableId="206644240">
    <w:abstractNumId w:val="11"/>
  </w:num>
  <w:num w:numId="17" w16cid:durableId="1687436207">
    <w:abstractNumId w:val="22"/>
  </w:num>
  <w:num w:numId="18" w16cid:durableId="420758738">
    <w:abstractNumId w:val="7"/>
  </w:num>
  <w:num w:numId="19" w16cid:durableId="700782459">
    <w:abstractNumId w:val="19"/>
  </w:num>
  <w:num w:numId="20" w16cid:durableId="1478034678">
    <w:abstractNumId w:val="8"/>
  </w:num>
  <w:num w:numId="21" w16cid:durableId="621157545">
    <w:abstractNumId w:val="5"/>
  </w:num>
  <w:num w:numId="22" w16cid:durableId="1710647419">
    <w:abstractNumId w:val="21"/>
  </w:num>
  <w:num w:numId="23" w16cid:durableId="47175682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1C"/>
    <w:rsid w:val="00012912"/>
    <w:rsid w:val="000329E9"/>
    <w:rsid w:val="00035758"/>
    <w:rsid w:val="00054D54"/>
    <w:rsid w:val="00081555"/>
    <w:rsid w:val="000D6D16"/>
    <w:rsid w:val="000F62A6"/>
    <w:rsid w:val="00120179"/>
    <w:rsid w:val="001231A1"/>
    <w:rsid w:val="00164EB9"/>
    <w:rsid w:val="001749F9"/>
    <w:rsid w:val="0021637E"/>
    <w:rsid w:val="002475C5"/>
    <w:rsid w:val="002D68BB"/>
    <w:rsid w:val="002E0028"/>
    <w:rsid w:val="002E0AFD"/>
    <w:rsid w:val="002E7481"/>
    <w:rsid w:val="002F7B53"/>
    <w:rsid w:val="003008B5"/>
    <w:rsid w:val="00306C62"/>
    <w:rsid w:val="00317E3F"/>
    <w:rsid w:val="00343291"/>
    <w:rsid w:val="00345360"/>
    <w:rsid w:val="00345E35"/>
    <w:rsid w:val="00364DF7"/>
    <w:rsid w:val="00374243"/>
    <w:rsid w:val="003835ED"/>
    <w:rsid w:val="003C3CED"/>
    <w:rsid w:val="003F3671"/>
    <w:rsid w:val="00446E6E"/>
    <w:rsid w:val="00455246"/>
    <w:rsid w:val="004559A4"/>
    <w:rsid w:val="004D0DD5"/>
    <w:rsid w:val="004E6875"/>
    <w:rsid w:val="004F0F7A"/>
    <w:rsid w:val="00503127"/>
    <w:rsid w:val="005D1FDD"/>
    <w:rsid w:val="005F2BB6"/>
    <w:rsid w:val="006432C4"/>
    <w:rsid w:val="006B6737"/>
    <w:rsid w:val="006B7325"/>
    <w:rsid w:val="006D2A6C"/>
    <w:rsid w:val="00700020"/>
    <w:rsid w:val="0072464C"/>
    <w:rsid w:val="00781C5B"/>
    <w:rsid w:val="007E74BA"/>
    <w:rsid w:val="0082036E"/>
    <w:rsid w:val="00824556"/>
    <w:rsid w:val="0082766D"/>
    <w:rsid w:val="008333A1"/>
    <w:rsid w:val="00844872"/>
    <w:rsid w:val="00852F82"/>
    <w:rsid w:val="008612B4"/>
    <w:rsid w:val="00862B99"/>
    <w:rsid w:val="00863E42"/>
    <w:rsid w:val="0087377D"/>
    <w:rsid w:val="008814FC"/>
    <w:rsid w:val="009004A6"/>
    <w:rsid w:val="00926ADE"/>
    <w:rsid w:val="00927834"/>
    <w:rsid w:val="009668F5"/>
    <w:rsid w:val="009713B1"/>
    <w:rsid w:val="0099210D"/>
    <w:rsid w:val="009B6D6D"/>
    <w:rsid w:val="009E1B49"/>
    <w:rsid w:val="00A1407E"/>
    <w:rsid w:val="00A30C23"/>
    <w:rsid w:val="00A6393A"/>
    <w:rsid w:val="00A64EFB"/>
    <w:rsid w:val="00AF7365"/>
    <w:rsid w:val="00B26EB6"/>
    <w:rsid w:val="00B447B2"/>
    <w:rsid w:val="00B4654E"/>
    <w:rsid w:val="00B7521C"/>
    <w:rsid w:val="00B85098"/>
    <w:rsid w:val="00B87162"/>
    <w:rsid w:val="00CB6199"/>
    <w:rsid w:val="00D074B8"/>
    <w:rsid w:val="00D3539B"/>
    <w:rsid w:val="00D752A6"/>
    <w:rsid w:val="00DD6C76"/>
    <w:rsid w:val="00DF0453"/>
    <w:rsid w:val="00E2092E"/>
    <w:rsid w:val="00E21FD1"/>
    <w:rsid w:val="00E81D39"/>
    <w:rsid w:val="00EB70CC"/>
    <w:rsid w:val="00ED0224"/>
    <w:rsid w:val="00EF58A2"/>
    <w:rsid w:val="00F20606"/>
    <w:rsid w:val="00F52DB6"/>
    <w:rsid w:val="00FB6133"/>
    <w:rsid w:val="00FC3E6C"/>
    <w:rsid w:val="00FC7830"/>
    <w:rsid w:val="00FD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E9372C"/>
  <w15:docId w15:val="{912E1A3C-7B86-45B6-A4EC-A66B0934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DD5"/>
    <w:pPr>
      <w:spacing w:after="200" w:line="276" w:lineRule="auto"/>
    </w:pPr>
    <w:rPr>
      <w:rFonts w:ascii="Calibri" w:hAnsi="Calibri" w:cs="Calibri"/>
      <w:lang w:val="en-US" w:eastAsia="en-US"/>
    </w:rPr>
  </w:style>
  <w:style w:type="paragraph" w:styleId="Heading1">
    <w:name w:val="heading 1"/>
    <w:basedOn w:val="Normal"/>
    <w:next w:val="Normal"/>
    <w:link w:val="Heading1Char"/>
    <w:uiPriority w:val="99"/>
    <w:qFormat/>
    <w:rsid w:val="004D0DD5"/>
    <w:pPr>
      <w:keepNext/>
      <w:spacing w:after="0" w:line="240" w:lineRule="auto"/>
      <w:ind w:left="720"/>
      <w:jc w:val="center"/>
      <w:outlineLvl w:val="0"/>
    </w:pPr>
    <w:rPr>
      <w:rFonts w:ascii="Arial" w:hAnsi="Arial" w:cs="Arial"/>
      <w:noProof/>
      <w:sz w:val="28"/>
      <w:szCs w:val="28"/>
      <w:lang w:val="en-GB" w:eastAsia="en-GB"/>
    </w:rPr>
  </w:style>
  <w:style w:type="paragraph" w:styleId="Heading2">
    <w:name w:val="heading 2"/>
    <w:basedOn w:val="Normal"/>
    <w:next w:val="Normal"/>
    <w:link w:val="Heading2Char"/>
    <w:uiPriority w:val="9"/>
    <w:semiHidden/>
    <w:unhideWhenUsed/>
    <w:qFormat/>
    <w:rsid w:val="008276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7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1C"/>
    <w:rPr>
      <w:rFonts w:asciiTheme="majorHAnsi" w:eastAsiaTheme="majorEastAsia" w:hAnsiTheme="majorHAnsi" w:cstheme="majorBidi"/>
      <w:b/>
      <w:bCs/>
      <w:kern w:val="32"/>
      <w:sz w:val="32"/>
      <w:szCs w:val="32"/>
      <w:lang w:val="en-US" w:eastAsia="en-US"/>
    </w:rPr>
  </w:style>
  <w:style w:type="paragraph" w:styleId="Header">
    <w:name w:val="header"/>
    <w:basedOn w:val="Normal"/>
    <w:link w:val="HeaderChar"/>
    <w:rsid w:val="004D0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DD5"/>
    <w:rPr>
      <w:rFonts w:ascii="Times New Roman" w:hAnsi="Times New Roman" w:cs="Times New Roman"/>
    </w:rPr>
  </w:style>
  <w:style w:type="paragraph" w:styleId="Footer">
    <w:name w:val="footer"/>
    <w:basedOn w:val="Normal"/>
    <w:link w:val="FooterChar"/>
    <w:uiPriority w:val="99"/>
    <w:rsid w:val="004D0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DD5"/>
    <w:rPr>
      <w:rFonts w:ascii="Times New Roman" w:hAnsi="Times New Roman" w:cs="Times New Roman"/>
    </w:rPr>
  </w:style>
  <w:style w:type="paragraph" w:styleId="BalloonText">
    <w:name w:val="Balloon Text"/>
    <w:basedOn w:val="Normal"/>
    <w:link w:val="BalloonTextChar"/>
    <w:uiPriority w:val="99"/>
    <w:rsid w:val="004D0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D0DD5"/>
    <w:rPr>
      <w:rFonts w:ascii="Tahoma" w:hAnsi="Tahoma" w:cs="Tahoma"/>
      <w:sz w:val="16"/>
      <w:szCs w:val="16"/>
    </w:rPr>
  </w:style>
  <w:style w:type="paragraph" w:customStyle="1" w:styleId="owapara">
    <w:name w:val="owapara"/>
    <w:basedOn w:val="Normal"/>
    <w:uiPriority w:val="99"/>
    <w:rsid w:val="004D0DD5"/>
    <w:pPr>
      <w:spacing w:after="0" w:line="240" w:lineRule="auto"/>
    </w:pPr>
    <w:rPr>
      <w:sz w:val="24"/>
      <w:szCs w:val="24"/>
    </w:rPr>
  </w:style>
  <w:style w:type="paragraph" w:styleId="BodyText">
    <w:name w:val="Body Text"/>
    <w:basedOn w:val="Normal"/>
    <w:link w:val="BodyTextChar"/>
    <w:uiPriority w:val="99"/>
    <w:rsid w:val="004D0DD5"/>
    <w:pPr>
      <w:spacing w:after="0" w:line="240" w:lineRule="auto"/>
    </w:pPr>
    <w:rPr>
      <w:rFonts w:ascii="Arial" w:hAnsi="Arial" w:cs="Arial"/>
      <w:lang w:val="en-GB"/>
    </w:rPr>
  </w:style>
  <w:style w:type="character" w:customStyle="1" w:styleId="BodyTextChar">
    <w:name w:val="Body Text Char"/>
    <w:basedOn w:val="DefaultParagraphFont"/>
    <w:link w:val="BodyText"/>
    <w:uiPriority w:val="99"/>
    <w:rsid w:val="004D0DD5"/>
    <w:rPr>
      <w:rFonts w:ascii="Calibri" w:hAnsi="Calibri" w:cs="Calibri"/>
      <w:lang w:val="en-US" w:eastAsia="en-US"/>
    </w:rPr>
  </w:style>
  <w:style w:type="character" w:styleId="Hyperlink">
    <w:name w:val="Hyperlink"/>
    <w:basedOn w:val="DefaultParagraphFont"/>
    <w:uiPriority w:val="99"/>
    <w:rsid w:val="004D0DD5"/>
    <w:rPr>
      <w:rFonts w:ascii="Times New Roman" w:hAnsi="Times New Roman" w:cs="Times New Roman"/>
      <w:color w:val="0000FF"/>
      <w:u w:val="single"/>
    </w:rPr>
  </w:style>
  <w:style w:type="paragraph" w:styleId="BodyText2">
    <w:name w:val="Body Text 2"/>
    <w:basedOn w:val="Normal"/>
    <w:link w:val="BodyText2Char"/>
    <w:uiPriority w:val="99"/>
    <w:rsid w:val="004D0DD5"/>
    <w:pPr>
      <w:spacing w:after="120" w:line="480" w:lineRule="auto"/>
    </w:pPr>
  </w:style>
  <w:style w:type="character" w:customStyle="1" w:styleId="BodyText2Char">
    <w:name w:val="Body Text 2 Char"/>
    <w:basedOn w:val="DefaultParagraphFont"/>
    <w:link w:val="BodyText2"/>
    <w:uiPriority w:val="99"/>
    <w:rsid w:val="004D0DD5"/>
    <w:rPr>
      <w:rFonts w:ascii="Calibri" w:hAnsi="Calibri" w:cs="Calibri"/>
      <w:lang w:val="en-US" w:eastAsia="en-US"/>
    </w:rPr>
  </w:style>
  <w:style w:type="paragraph" w:customStyle="1" w:styleId="Default">
    <w:name w:val="Default"/>
    <w:uiPriority w:val="99"/>
    <w:rsid w:val="004D0DD5"/>
    <w:pPr>
      <w:autoSpaceDE w:val="0"/>
      <w:autoSpaceDN w:val="0"/>
      <w:adjustRightInd w:val="0"/>
    </w:pPr>
    <w:rPr>
      <w:rFonts w:ascii="Arial" w:hAnsi="Arial" w:cs="Arial"/>
      <w:color w:val="000000"/>
      <w:sz w:val="24"/>
      <w:szCs w:val="24"/>
    </w:rPr>
  </w:style>
  <w:style w:type="paragraph" w:styleId="NoSpacing">
    <w:name w:val="No Spacing"/>
    <w:uiPriority w:val="1"/>
    <w:qFormat/>
    <w:rsid w:val="004D0DD5"/>
    <w:rPr>
      <w:rFonts w:ascii="Calibri" w:hAnsi="Calibri" w:cs="Calibri"/>
      <w:lang w:eastAsia="en-US"/>
    </w:rPr>
  </w:style>
  <w:style w:type="paragraph" w:styleId="NormalWeb">
    <w:name w:val="Normal (Web)"/>
    <w:basedOn w:val="Normal"/>
    <w:uiPriority w:val="99"/>
    <w:rsid w:val="004D0DD5"/>
    <w:pPr>
      <w:spacing w:before="150" w:after="225" w:line="240" w:lineRule="auto"/>
    </w:pPr>
    <w:rPr>
      <w:rFonts w:cstheme="minorBidi"/>
      <w:sz w:val="24"/>
      <w:szCs w:val="24"/>
      <w:lang w:val="en-GB" w:eastAsia="en-GB"/>
    </w:rPr>
  </w:style>
  <w:style w:type="paragraph" w:styleId="ListParagraph">
    <w:name w:val="List Paragraph"/>
    <w:basedOn w:val="Normal"/>
    <w:qFormat/>
    <w:rsid w:val="00D752A6"/>
    <w:pPr>
      <w:spacing w:after="0" w:line="240" w:lineRule="auto"/>
      <w:ind w:left="720"/>
    </w:pPr>
    <w:rPr>
      <w:rFonts w:eastAsia="Times New Roman" w:cs="Times New Roman"/>
      <w:sz w:val="24"/>
      <w:szCs w:val="24"/>
      <w:lang w:val="en-GB" w:eastAsia="en-GB"/>
    </w:rPr>
  </w:style>
  <w:style w:type="character" w:customStyle="1" w:styleId="Heading2Char">
    <w:name w:val="Heading 2 Char"/>
    <w:basedOn w:val="DefaultParagraphFont"/>
    <w:link w:val="Heading2"/>
    <w:uiPriority w:val="9"/>
    <w:semiHidden/>
    <w:rsid w:val="0082766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82766D"/>
    <w:rPr>
      <w:rFonts w:asciiTheme="majorHAnsi" w:eastAsiaTheme="majorEastAsia" w:hAnsiTheme="majorHAnsi" w:cstheme="majorBidi"/>
      <w:b/>
      <w:bCs/>
      <w:color w:val="4F81BD" w:themeColor="accent1"/>
      <w:lang w:val="en-US" w:eastAsia="en-US"/>
    </w:rPr>
  </w:style>
  <w:style w:type="paragraph" w:styleId="BodyTextIndent3">
    <w:name w:val="Body Text Indent 3"/>
    <w:basedOn w:val="Normal"/>
    <w:link w:val="BodyTextIndent3Char"/>
    <w:semiHidden/>
    <w:rsid w:val="00E21FD1"/>
    <w:pPr>
      <w:spacing w:after="120" w:line="240" w:lineRule="auto"/>
      <w:ind w:left="283"/>
    </w:pPr>
    <w:rPr>
      <w:rFonts w:ascii="Arial" w:eastAsia="Times New Roman" w:hAnsi="Arial" w:cs="Arial"/>
      <w:sz w:val="16"/>
      <w:szCs w:val="16"/>
      <w:lang w:val="en-GB" w:eastAsia="en-GB"/>
    </w:rPr>
  </w:style>
  <w:style w:type="character" w:customStyle="1" w:styleId="BodyTextIndent3Char">
    <w:name w:val="Body Text Indent 3 Char"/>
    <w:basedOn w:val="DefaultParagraphFont"/>
    <w:link w:val="BodyTextIndent3"/>
    <w:semiHidden/>
    <w:rsid w:val="00E21FD1"/>
    <w:rPr>
      <w:rFonts w:ascii="Arial" w:eastAsia="Times New Roman" w:hAnsi="Arial" w:cs="Arial"/>
      <w:sz w:val="16"/>
      <w:szCs w:val="16"/>
    </w:rPr>
  </w:style>
  <w:style w:type="paragraph" w:customStyle="1" w:styleId="ColorfulList-Accent11">
    <w:name w:val="Colorful List - Accent 11"/>
    <w:basedOn w:val="Normal"/>
    <w:uiPriority w:val="34"/>
    <w:qFormat/>
    <w:rsid w:val="00E81D39"/>
    <w:pPr>
      <w:widowControl w:val="0"/>
      <w:spacing w:after="0" w:line="240" w:lineRule="auto"/>
      <w:ind w:left="720"/>
      <w:contextualSpacing/>
    </w:pPr>
    <w:rPr>
      <w:rFonts w:ascii="Arial" w:eastAsia="Calibri" w:hAnsi="Arial"/>
      <w:sz w:val="20"/>
    </w:rPr>
  </w:style>
  <w:style w:type="paragraph" w:styleId="TOC3">
    <w:name w:val="toc 3"/>
    <w:basedOn w:val="Normal"/>
    <w:next w:val="Normal"/>
    <w:autoRedefine/>
    <w:uiPriority w:val="39"/>
    <w:qFormat/>
    <w:rsid w:val="00DF0453"/>
    <w:pPr>
      <w:spacing w:after="0" w:line="240" w:lineRule="auto"/>
    </w:pPr>
    <w:rPr>
      <w:rFonts w:ascii="Arial" w:eastAsia="Times New Roman"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86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1099</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Newry, Mourne and Down District Council Section 75 Policy Screening Report</vt:lpstr>
    </vt:vector>
  </TitlesOfParts>
  <Company>NDBC</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Newry, Mourne and Down District Council Section 75 Policy Screening Report</dc:title>
  <dc:creator>Philip Moffett</dc:creator>
  <cp:lastModifiedBy>Moffett, Colin</cp:lastModifiedBy>
  <cp:revision>2</cp:revision>
  <cp:lastPrinted>2019-12-30T10:28:00Z</cp:lastPrinted>
  <dcterms:created xsi:type="dcterms:W3CDTF">2023-07-05T09:34:00Z</dcterms:created>
  <dcterms:modified xsi:type="dcterms:W3CDTF">2023-07-05T09:34:00Z</dcterms:modified>
</cp:coreProperties>
</file>