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21C" w:rsidRPr="00081555" w:rsidRDefault="00B7521C">
      <w:pPr>
        <w:ind w:left="720"/>
        <w:jc w:val="center"/>
        <w:rPr>
          <w:rFonts w:ascii="Arial" w:hAnsi="Arial" w:cs="Arial"/>
          <w:noProof/>
          <w:sz w:val="24"/>
          <w:szCs w:val="24"/>
          <w:lang w:val="en-GB" w:eastAsia="en-GB"/>
        </w:rPr>
      </w:pPr>
    </w:p>
    <w:p w:rsidR="00B7521C" w:rsidRPr="00081555" w:rsidRDefault="00B7521C">
      <w:pPr>
        <w:spacing w:after="0" w:line="240" w:lineRule="auto"/>
        <w:ind w:left="720"/>
        <w:jc w:val="center"/>
        <w:rPr>
          <w:rFonts w:ascii="Arial" w:hAnsi="Arial" w:cs="Arial"/>
          <w:noProof/>
          <w:sz w:val="24"/>
          <w:szCs w:val="24"/>
          <w:lang w:val="en-GB" w:eastAsia="en-GB"/>
        </w:rPr>
      </w:pPr>
      <w:r w:rsidRPr="00081555">
        <w:rPr>
          <w:rFonts w:ascii="Arial" w:hAnsi="Arial" w:cs="Arial"/>
          <w:noProof/>
          <w:sz w:val="24"/>
          <w:szCs w:val="24"/>
          <w:lang w:val="en-GB" w:eastAsia="en-GB"/>
        </w:rPr>
        <w:t xml:space="preserve">Newry, Mourne and Down District Council Section 75 Policy Screening Report </w:t>
      </w:r>
    </w:p>
    <w:p w:rsidR="00B7521C" w:rsidRPr="00081555" w:rsidRDefault="00B7521C">
      <w:pPr>
        <w:pStyle w:val="Heading1"/>
        <w:rPr>
          <w:sz w:val="24"/>
          <w:szCs w:val="24"/>
        </w:rPr>
      </w:pPr>
      <w:r w:rsidRPr="00081555">
        <w:rPr>
          <w:sz w:val="24"/>
          <w:szCs w:val="24"/>
        </w:rPr>
        <w:t xml:space="preserve">Quarterly Report </w:t>
      </w:r>
      <w:r w:rsidR="00345E35">
        <w:rPr>
          <w:sz w:val="24"/>
          <w:szCs w:val="24"/>
        </w:rPr>
        <w:t>April - June</w:t>
      </w:r>
      <w:r w:rsidR="00081555">
        <w:rPr>
          <w:sz w:val="24"/>
          <w:szCs w:val="24"/>
        </w:rPr>
        <w:t xml:space="preserve"> 2017</w:t>
      </w:r>
    </w:p>
    <w:p w:rsidR="009004A6" w:rsidRPr="00081555" w:rsidRDefault="009004A6">
      <w:pPr>
        <w:jc w:val="center"/>
        <w:rPr>
          <w:rFonts w:ascii="Arial" w:hAnsi="Arial" w:cs="Arial"/>
          <w:b/>
          <w:bCs/>
          <w:sz w:val="24"/>
          <w:szCs w:val="24"/>
          <w:lang w:val="en-GB"/>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7"/>
        <w:gridCol w:w="2162"/>
        <w:gridCol w:w="7477"/>
        <w:gridCol w:w="1736"/>
      </w:tblGrid>
      <w:tr w:rsidR="00B7521C" w:rsidRPr="00081555" w:rsidTr="00E2092E">
        <w:tc>
          <w:tcPr>
            <w:tcW w:w="1207" w:type="dxa"/>
          </w:tcPr>
          <w:p w:rsidR="00B7521C" w:rsidRPr="00081555" w:rsidRDefault="00B7521C" w:rsidP="003835ED">
            <w:pPr>
              <w:spacing w:after="0" w:line="240" w:lineRule="auto"/>
              <w:rPr>
                <w:rFonts w:ascii="Arial" w:hAnsi="Arial" w:cs="Arial"/>
                <w:b/>
                <w:sz w:val="24"/>
                <w:szCs w:val="24"/>
                <w:lang w:val="en-GB"/>
              </w:rPr>
            </w:pPr>
            <w:r w:rsidRPr="00081555">
              <w:rPr>
                <w:rFonts w:ascii="Arial" w:hAnsi="Arial" w:cs="Arial"/>
                <w:b/>
                <w:sz w:val="24"/>
                <w:szCs w:val="24"/>
                <w:lang w:val="en-GB"/>
              </w:rPr>
              <w:t>Policy Number</w:t>
            </w:r>
          </w:p>
        </w:tc>
        <w:tc>
          <w:tcPr>
            <w:tcW w:w="2162" w:type="dxa"/>
          </w:tcPr>
          <w:p w:rsidR="00B7521C" w:rsidRPr="00081555" w:rsidRDefault="00B7521C" w:rsidP="003835ED">
            <w:pPr>
              <w:spacing w:after="0" w:line="240" w:lineRule="auto"/>
              <w:rPr>
                <w:rFonts w:ascii="Arial" w:hAnsi="Arial" w:cs="Arial"/>
                <w:b/>
                <w:sz w:val="24"/>
                <w:szCs w:val="24"/>
                <w:lang w:val="en-GB"/>
              </w:rPr>
            </w:pPr>
            <w:r w:rsidRPr="00081555">
              <w:rPr>
                <w:rFonts w:ascii="Arial" w:hAnsi="Arial" w:cs="Arial"/>
                <w:b/>
                <w:sz w:val="24"/>
                <w:szCs w:val="24"/>
                <w:lang w:val="en-GB"/>
              </w:rPr>
              <w:t>Policy</w:t>
            </w:r>
          </w:p>
        </w:tc>
        <w:tc>
          <w:tcPr>
            <w:tcW w:w="7477" w:type="dxa"/>
          </w:tcPr>
          <w:p w:rsidR="00B7521C" w:rsidRPr="00081555" w:rsidRDefault="00B7521C" w:rsidP="003835ED">
            <w:pPr>
              <w:spacing w:after="0" w:line="240" w:lineRule="auto"/>
              <w:rPr>
                <w:rFonts w:ascii="Arial" w:hAnsi="Arial" w:cs="Arial"/>
                <w:b/>
                <w:sz w:val="24"/>
                <w:szCs w:val="24"/>
                <w:lang w:val="en-GB"/>
              </w:rPr>
            </w:pPr>
            <w:r w:rsidRPr="00081555">
              <w:rPr>
                <w:rFonts w:ascii="Arial" w:hAnsi="Arial" w:cs="Arial"/>
                <w:b/>
                <w:sz w:val="24"/>
                <w:szCs w:val="24"/>
                <w:lang w:val="en-GB"/>
              </w:rPr>
              <w:t>Details of policy</w:t>
            </w:r>
          </w:p>
        </w:tc>
        <w:tc>
          <w:tcPr>
            <w:tcW w:w="1736" w:type="dxa"/>
          </w:tcPr>
          <w:p w:rsidR="00B7521C" w:rsidRPr="00081555" w:rsidRDefault="00B7521C" w:rsidP="003835ED">
            <w:pPr>
              <w:spacing w:after="0" w:line="240" w:lineRule="auto"/>
              <w:rPr>
                <w:rFonts w:ascii="Arial" w:hAnsi="Arial" w:cs="Arial"/>
                <w:b/>
                <w:sz w:val="24"/>
                <w:szCs w:val="24"/>
                <w:lang w:val="en-GB"/>
              </w:rPr>
            </w:pPr>
            <w:r w:rsidRPr="00081555">
              <w:rPr>
                <w:rFonts w:ascii="Arial" w:hAnsi="Arial" w:cs="Arial"/>
                <w:b/>
                <w:sz w:val="24"/>
                <w:szCs w:val="24"/>
                <w:lang w:val="en-GB"/>
              </w:rPr>
              <w:t>Screening Outcome</w:t>
            </w:r>
          </w:p>
        </w:tc>
      </w:tr>
      <w:tr w:rsidR="003835ED" w:rsidRPr="00081555" w:rsidTr="00E2092E">
        <w:tc>
          <w:tcPr>
            <w:tcW w:w="1207" w:type="dxa"/>
          </w:tcPr>
          <w:p w:rsidR="003835ED" w:rsidRDefault="00345E35" w:rsidP="003835ED">
            <w:pPr>
              <w:spacing w:after="0" w:line="240" w:lineRule="auto"/>
              <w:rPr>
                <w:rFonts w:ascii="Arial" w:hAnsi="Arial" w:cs="Arial"/>
                <w:sz w:val="24"/>
                <w:szCs w:val="24"/>
              </w:rPr>
            </w:pPr>
            <w:r>
              <w:rPr>
                <w:rFonts w:ascii="Arial" w:hAnsi="Arial" w:cs="Arial"/>
                <w:sz w:val="24"/>
                <w:szCs w:val="24"/>
              </w:rPr>
              <w:t>51</w:t>
            </w:r>
          </w:p>
        </w:tc>
        <w:tc>
          <w:tcPr>
            <w:tcW w:w="2162" w:type="dxa"/>
          </w:tcPr>
          <w:p w:rsidR="003835ED" w:rsidRDefault="00345E35" w:rsidP="003835ED">
            <w:pPr>
              <w:pStyle w:val="NoSpacing"/>
              <w:rPr>
                <w:rFonts w:ascii="Arial" w:hAnsi="Arial" w:cs="Arial"/>
                <w:bCs/>
                <w:sz w:val="24"/>
                <w:szCs w:val="24"/>
              </w:rPr>
            </w:pPr>
            <w:r w:rsidRPr="00345E35">
              <w:rPr>
                <w:rFonts w:ascii="Arial" w:hAnsi="Arial" w:cs="Arial"/>
                <w:bCs/>
                <w:sz w:val="24"/>
                <w:szCs w:val="24"/>
                <w:lang w:val="en-US"/>
              </w:rPr>
              <w:t>Acquisition and Disposal of Land Assets Policy</w:t>
            </w:r>
          </w:p>
        </w:tc>
        <w:tc>
          <w:tcPr>
            <w:tcW w:w="7477" w:type="dxa"/>
          </w:tcPr>
          <w:p w:rsidR="003835ED" w:rsidRDefault="003835ED" w:rsidP="003835ED">
            <w:pPr>
              <w:spacing w:after="0" w:line="240" w:lineRule="auto"/>
              <w:rPr>
                <w:rFonts w:ascii="Arial" w:hAnsi="Arial" w:cs="Arial"/>
                <w:bCs/>
                <w:sz w:val="24"/>
                <w:szCs w:val="24"/>
              </w:rPr>
            </w:pPr>
            <w:r w:rsidRPr="003835ED">
              <w:rPr>
                <w:rFonts w:ascii="Arial" w:hAnsi="Arial" w:cs="Arial"/>
                <w:bCs/>
                <w:sz w:val="24"/>
                <w:szCs w:val="24"/>
              </w:rPr>
              <w:t xml:space="preserve">The aim of the policy is to ensure there is a consistent process to consider the disposal and acquisition of land assets. </w:t>
            </w:r>
          </w:p>
          <w:p w:rsidR="003835ED" w:rsidRPr="003835ED" w:rsidRDefault="003835ED" w:rsidP="003835ED">
            <w:pPr>
              <w:spacing w:after="0" w:line="240" w:lineRule="auto"/>
              <w:rPr>
                <w:rFonts w:ascii="Arial" w:hAnsi="Arial" w:cs="Arial"/>
                <w:sz w:val="24"/>
                <w:szCs w:val="24"/>
              </w:rPr>
            </w:pPr>
            <w:r w:rsidRPr="003835ED">
              <w:rPr>
                <w:rFonts w:ascii="Arial" w:hAnsi="Arial" w:cs="Arial"/>
                <w:bCs/>
                <w:sz w:val="24"/>
                <w:szCs w:val="24"/>
              </w:rPr>
              <w:t xml:space="preserve">  </w:t>
            </w:r>
          </w:p>
        </w:tc>
        <w:tc>
          <w:tcPr>
            <w:tcW w:w="1736" w:type="dxa"/>
          </w:tcPr>
          <w:p w:rsidR="003835ED" w:rsidRDefault="00345E35" w:rsidP="003835ED">
            <w:pPr>
              <w:spacing w:after="0" w:line="240" w:lineRule="auto"/>
              <w:rPr>
                <w:rFonts w:ascii="Arial" w:hAnsi="Arial" w:cs="Arial"/>
                <w:sz w:val="24"/>
                <w:szCs w:val="24"/>
              </w:rPr>
            </w:pPr>
            <w:r w:rsidRPr="00081555">
              <w:rPr>
                <w:rFonts w:ascii="Arial" w:hAnsi="Arial" w:cs="Arial"/>
                <w:sz w:val="24"/>
                <w:szCs w:val="24"/>
              </w:rPr>
              <w:t>No EQIA considered necessary</w:t>
            </w:r>
          </w:p>
          <w:p w:rsidR="00345E35" w:rsidRPr="00081555" w:rsidRDefault="00345E35" w:rsidP="003835ED">
            <w:pPr>
              <w:spacing w:after="0" w:line="240" w:lineRule="auto"/>
              <w:rPr>
                <w:rFonts w:ascii="Arial" w:hAnsi="Arial" w:cs="Arial"/>
                <w:sz w:val="24"/>
                <w:szCs w:val="24"/>
              </w:rPr>
            </w:pPr>
          </w:p>
        </w:tc>
      </w:tr>
      <w:tr w:rsidR="005D1FDD" w:rsidRPr="00081555" w:rsidTr="00E2092E">
        <w:tc>
          <w:tcPr>
            <w:tcW w:w="1207" w:type="dxa"/>
          </w:tcPr>
          <w:p w:rsidR="005D1FDD" w:rsidRDefault="005D1FDD" w:rsidP="003835ED">
            <w:pPr>
              <w:spacing w:after="0" w:line="240" w:lineRule="auto"/>
              <w:rPr>
                <w:rFonts w:ascii="Arial" w:hAnsi="Arial" w:cs="Arial"/>
                <w:sz w:val="24"/>
                <w:szCs w:val="24"/>
              </w:rPr>
            </w:pPr>
            <w:r>
              <w:rPr>
                <w:rFonts w:ascii="Arial" w:hAnsi="Arial" w:cs="Arial"/>
                <w:sz w:val="24"/>
                <w:szCs w:val="24"/>
              </w:rPr>
              <w:t>133</w:t>
            </w:r>
          </w:p>
        </w:tc>
        <w:tc>
          <w:tcPr>
            <w:tcW w:w="2162" w:type="dxa"/>
          </w:tcPr>
          <w:p w:rsidR="005D1FDD" w:rsidRDefault="005D1FDD" w:rsidP="003835ED">
            <w:pPr>
              <w:pStyle w:val="NoSpacing"/>
              <w:rPr>
                <w:rFonts w:ascii="Arial" w:hAnsi="Arial" w:cs="Arial"/>
                <w:bCs/>
                <w:sz w:val="24"/>
                <w:szCs w:val="24"/>
              </w:rPr>
            </w:pPr>
            <w:r>
              <w:rPr>
                <w:rFonts w:ascii="Arial" w:hAnsi="Arial" w:cs="Arial"/>
                <w:bCs/>
                <w:sz w:val="24"/>
                <w:szCs w:val="24"/>
              </w:rPr>
              <w:t>Pavement Cafes Designation Policy</w:t>
            </w:r>
          </w:p>
        </w:tc>
        <w:tc>
          <w:tcPr>
            <w:tcW w:w="7477" w:type="dxa"/>
          </w:tcPr>
          <w:p w:rsidR="005D1FDD" w:rsidRPr="005D1FDD" w:rsidRDefault="005D1FDD" w:rsidP="005D1FDD">
            <w:pPr>
              <w:spacing w:after="0" w:line="240" w:lineRule="auto"/>
              <w:rPr>
                <w:rFonts w:ascii="Arial" w:hAnsi="Arial" w:cs="Arial"/>
                <w:sz w:val="24"/>
                <w:szCs w:val="24"/>
              </w:rPr>
            </w:pPr>
            <w:r w:rsidRPr="005D1FDD">
              <w:rPr>
                <w:rFonts w:ascii="Arial" w:hAnsi="Arial" w:cs="Arial"/>
                <w:sz w:val="24"/>
                <w:szCs w:val="24"/>
              </w:rPr>
              <w:t xml:space="preserve">The purpose of this Policy is to provide guidance on matters, which should be considered when deciding whether to designate a street or part thereof as a pavement café and whether to grant or refuse an application for a pavement café.  Its aim is to provide, insofar as is possible, consistent decision making so as to develop and thereafter maintain public confidence in </w:t>
            </w:r>
            <w:proofErr w:type="spellStart"/>
            <w:r w:rsidRPr="005D1FDD">
              <w:rPr>
                <w:rFonts w:ascii="Arial" w:hAnsi="Arial" w:cs="Arial"/>
                <w:sz w:val="24"/>
                <w:szCs w:val="24"/>
              </w:rPr>
              <w:t>Newry</w:t>
            </w:r>
            <w:proofErr w:type="spellEnd"/>
            <w:r w:rsidRPr="005D1FDD">
              <w:rPr>
                <w:rFonts w:ascii="Arial" w:hAnsi="Arial" w:cs="Arial"/>
                <w:sz w:val="24"/>
                <w:szCs w:val="24"/>
              </w:rPr>
              <w:t xml:space="preserve">, </w:t>
            </w:r>
            <w:proofErr w:type="spellStart"/>
            <w:r w:rsidRPr="005D1FDD">
              <w:rPr>
                <w:rFonts w:ascii="Arial" w:hAnsi="Arial" w:cs="Arial"/>
                <w:sz w:val="24"/>
                <w:szCs w:val="24"/>
              </w:rPr>
              <w:t>Mourne</w:t>
            </w:r>
            <w:proofErr w:type="spellEnd"/>
            <w:r w:rsidRPr="005D1FDD">
              <w:rPr>
                <w:rFonts w:ascii="Arial" w:hAnsi="Arial" w:cs="Arial"/>
                <w:sz w:val="24"/>
                <w:szCs w:val="24"/>
              </w:rPr>
              <w:t xml:space="preserve"> and Down District Council’s performance of its duties.</w:t>
            </w:r>
          </w:p>
          <w:p w:rsidR="005D1FDD" w:rsidRPr="005D1FDD" w:rsidRDefault="005D1FDD" w:rsidP="005D1FDD">
            <w:pPr>
              <w:spacing w:after="0" w:line="240" w:lineRule="auto"/>
              <w:rPr>
                <w:rFonts w:ascii="Arial" w:hAnsi="Arial" w:cs="Arial"/>
                <w:sz w:val="24"/>
                <w:szCs w:val="24"/>
              </w:rPr>
            </w:pPr>
          </w:p>
          <w:p w:rsidR="005D1FDD" w:rsidRPr="005D1FDD" w:rsidRDefault="00A1407E" w:rsidP="005D1FDD">
            <w:pPr>
              <w:pStyle w:val="Heading1"/>
              <w:ind w:left="0"/>
              <w:jc w:val="left"/>
              <w:rPr>
                <w:bCs/>
                <w:sz w:val="24"/>
                <w:szCs w:val="24"/>
              </w:rPr>
            </w:pPr>
            <w:r>
              <w:rPr>
                <w:bCs/>
                <w:sz w:val="24"/>
              </w:rPr>
              <w:t>It should be noted t</w:t>
            </w:r>
            <w:r w:rsidR="005D1FDD" w:rsidRPr="005D1FDD">
              <w:rPr>
                <w:bCs/>
                <w:sz w:val="24"/>
              </w:rPr>
              <w:t xml:space="preserve">his is an updated equality screening </w:t>
            </w:r>
            <w:r w:rsidR="005D1FDD">
              <w:rPr>
                <w:bCs/>
                <w:sz w:val="24"/>
              </w:rPr>
              <w:t>document</w:t>
            </w:r>
            <w:r>
              <w:rPr>
                <w:bCs/>
                <w:sz w:val="24"/>
              </w:rPr>
              <w:t xml:space="preserve"> which was originally named in the Quarterly Policy Screening Report for the period July – Septem</w:t>
            </w:r>
            <w:bookmarkStart w:id="0" w:name="_GoBack"/>
            <w:bookmarkEnd w:id="0"/>
            <w:r>
              <w:rPr>
                <w:bCs/>
                <w:sz w:val="24"/>
              </w:rPr>
              <w:t>ber 2016</w:t>
            </w:r>
            <w:r w:rsidR="005D1FDD">
              <w:rPr>
                <w:bCs/>
                <w:sz w:val="24"/>
              </w:rPr>
              <w:t>.  F</w:t>
            </w:r>
            <w:r w:rsidR="005D1FDD" w:rsidRPr="005D1FDD">
              <w:rPr>
                <w:bCs/>
                <w:sz w:val="24"/>
              </w:rPr>
              <w:t>o</w:t>
            </w:r>
            <w:r>
              <w:rPr>
                <w:bCs/>
                <w:sz w:val="24"/>
              </w:rPr>
              <w:t>r information, fo</w:t>
            </w:r>
            <w:r w:rsidR="005D1FDD" w:rsidRPr="005D1FDD">
              <w:rPr>
                <w:bCs/>
                <w:sz w:val="24"/>
              </w:rPr>
              <w:t>llowing consideration of a complaint</w:t>
            </w:r>
            <w:r w:rsidR="005D1FDD">
              <w:rPr>
                <w:bCs/>
                <w:sz w:val="24"/>
              </w:rPr>
              <w:t xml:space="preserve">, </w:t>
            </w:r>
            <w:r w:rsidR="005D1FDD" w:rsidRPr="005D1FDD">
              <w:rPr>
                <w:bCs/>
                <w:sz w:val="24"/>
                <w:szCs w:val="24"/>
              </w:rPr>
              <w:t xml:space="preserve">the original equality screening </w:t>
            </w:r>
            <w:r w:rsidR="005D1FDD">
              <w:rPr>
                <w:bCs/>
                <w:sz w:val="24"/>
                <w:szCs w:val="24"/>
              </w:rPr>
              <w:t xml:space="preserve">was amended </w:t>
            </w:r>
            <w:r w:rsidR="005D1FDD" w:rsidRPr="005D1FDD">
              <w:rPr>
                <w:bCs/>
                <w:sz w:val="24"/>
                <w:szCs w:val="24"/>
              </w:rPr>
              <w:t xml:space="preserve">as it did not reflect amendments of the policy and did not make direct reference to the potential impact upon older people, families and carers and young people. </w:t>
            </w:r>
            <w:r>
              <w:rPr>
                <w:bCs/>
                <w:sz w:val="24"/>
                <w:szCs w:val="24"/>
              </w:rPr>
              <w:t xml:space="preserve"> However, i</w:t>
            </w:r>
            <w:r w:rsidR="005D1FDD" w:rsidRPr="005D1FDD">
              <w:rPr>
                <w:bCs/>
                <w:sz w:val="24"/>
                <w:szCs w:val="24"/>
              </w:rPr>
              <w:t xml:space="preserve">t was the view that this </w:t>
            </w:r>
            <w:r>
              <w:rPr>
                <w:bCs/>
                <w:sz w:val="24"/>
                <w:szCs w:val="24"/>
              </w:rPr>
              <w:t xml:space="preserve">did not </w:t>
            </w:r>
            <w:r w:rsidR="005D1FDD" w:rsidRPr="005D1FDD">
              <w:rPr>
                <w:bCs/>
                <w:sz w:val="24"/>
                <w:szCs w:val="24"/>
              </w:rPr>
              <w:t xml:space="preserve">alter the original decision of screening that </w:t>
            </w:r>
            <w:r w:rsidR="005D1FDD" w:rsidRPr="005D1FDD">
              <w:rPr>
                <w:sz w:val="24"/>
                <w:szCs w:val="24"/>
              </w:rPr>
              <w:t>the Pavement Caf</w:t>
            </w:r>
            <w:r w:rsidR="005D1FDD" w:rsidRPr="005D1FDD">
              <w:rPr>
                <w:bCs/>
                <w:sz w:val="24"/>
                <w:szCs w:val="24"/>
              </w:rPr>
              <w:t>é</w:t>
            </w:r>
            <w:r w:rsidR="005D1FDD" w:rsidRPr="005D1FDD">
              <w:rPr>
                <w:sz w:val="24"/>
                <w:szCs w:val="24"/>
              </w:rPr>
              <w:t xml:space="preserve"> Designation Policy</w:t>
            </w:r>
            <w:r w:rsidR="005D1FDD" w:rsidRPr="005D1FDD">
              <w:rPr>
                <w:bCs/>
                <w:sz w:val="24"/>
                <w:szCs w:val="24"/>
              </w:rPr>
              <w:t xml:space="preserve"> not be subject </w:t>
            </w:r>
            <w:r w:rsidR="005D1FDD" w:rsidRPr="005D1FDD">
              <w:rPr>
                <w:sz w:val="24"/>
                <w:szCs w:val="24"/>
              </w:rPr>
              <w:t xml:space="preserve">to an EQIA (with no mitigating measures required).  </w:t>
            </w:r>
          </w:p>
          <w:p w:rsidR="005D1FDD" w:rsidRDefault="005D1FDD" w:rsidP="005D1FDD">
            <w:pPr>
              <w:spacing w:after="0" w:line="240" w:lineRule="auto"/>
              <w:rPr>
                <w:rFonts w:ascii="Arial" w:hAnsi="Arial" w:cs="Arial"/>
                <w:sz w:val="24"/>
                <w:szCs w:val="24"/>
              </w:rPr>
            </w:pPr>
          </w:p>
          <w:p w:rsidR="005D1FDD" w:rsidRDefault="005D1FDD" w:rsidP="005D1FDD">
            <w:pPr>
              <w:spacing w:after="0" w:line="240" w:lineRule="auto"/>
              <w:rPr>
                <w:rFonts w:ascii="Arial" w:hAnsi="Arial" w:cs="Arial"/>
                <w:sz w:val="24"/>
                <w:szCs w:val="24"/>
              </w:rPr>
            </w:pPr>
            <w:r w:rsidRPr="005D1FDD">
              <w:rPr>
                <w:rFonts w:ascii="Arial" w:hAnsi="Arial" w:cs="Arial"/>
                <w:sz w:val="24"/>
                <w:szCs w:val="24"/>
              </w:rPr>
              <w:t xml:space="preserve">Council was satisfied and confident the policy provides an effective framework to enable Council decide whether to designate a street or part thereof as a pavement café and whether to grant or refuse an </w:t>
            </w:r>
            <w:r w:rsidRPr="005D1FDD">
              <w:rPr>
                <w:rFonts w:ascii="Arial" w:hAnsi="Arial" w:cs="Arial"/>
                <w:sz w:val="24"/>
                <w:szCs w:val="24"/>
              </w:rPr>
              <w:lastRenderedPageBreak/>
              <w:t xml:space="preserve">application for a pavement café, and at this time does not consider the policy is required to be subject to an equality impact assessment. </w:t>
            </w:r>
          </w:p>
          <w:p w:rsidR="005D1FDD" w:rsidRPr="009004A6" w:rsidRDefault="005D1FDD" w:rsidP="005D1FDD">
            <w:pPr>
              <w:spacing w:after="0" w:line="240" w:lineRule="auto"/>
              <w:rPr>
                <w:rFonts w:ascii="Arial" w:hAnsi="Arial" w:cs="Arial"/>
                <w:sz w:val="24"/>
                <w:szCs w:val="24"/>
              </w:rPr>
            </w:pPr>
            <w:r w:rsidRPr="005D1FDD">
              <w:rPr>
                <w:rFonts w:ascii="Arial" w:hAnsi="Arial" w:cs="Arial"/>
                <w:sz w:val="24"/>
                <w:szCs w:val="24"/>
              </w:rPr>
              <w:t xml:space="preserve"> </w:t>
            </w:r>
          </w:p>
        </w:tc>
        <w:tc>
          <w:tcPr>
            <w:tcW w:w="1736" w:type="dxa"/>
          </w:tcPr>
          <w:p w:rsidR="005D1FDD" w:rsidRDefault="005D1FDD" w:rsidP="003835ED">
            <w:pPr>
              <w:spacing w:after="0" w:line="240" w:lineRule="auto"/>
              <w:rPr>
                <w:rFonts w:ascii="Arial" w:hAnsi="Arial" w:cs="Arial"/>
                <w:sz w:val="24"/>
                <w:szCs w:val="24"/>
              </w:rPr>
            </w:pPr>
            <w:r>
              <w:rPr>
                <w:rFonts w:ascii="Arial" w:hAnsi="Arial" w:cs="Arial"/>
                <w:sz w:val="24"/>
                <w:szCs w:val="24"/>
              </w:rPr>
              <w:lastRenderedPageBreak/>
              <w:t>No EQIA considered necessary</w:t>
            </w:r>
          </w:p>
          <w:p w:rsidR="005D1FDD" w:rsidRPr="00081555" w:rsidRDefault="005D1FDD" w:rsidP="003835ED">
            <w:pPr>
              <w:spacing w:after="0" w:line="240" w:lineRule="auto"/>
              <w:rPr>
                <w:rFonts w:ascii="Arial" w:hAnsi="Arial" w:cs="Arial"/>
                <w:sz w:val="24"/>
                <w:szCs w:val="24"/>
              </w:rPr>
            </w:pPr>
          </w:p>
        </w:tc>
      </w:tr>
      <w:tr w:rsidR="006B6737" w:rsidRPr="00081555" w:rsidTr="00E2092E">
        <w:tc>
          <w:tcPr>
            <w:tcW w:w="1207" w:type="dxa"/>
          </w:tcPr>
          <w:p w:rsidR="006B6737" w:rsidRPr="00081555" w:rsidRDefault="009004A6" w:rsidP="003835ED">
            <w:pPr>
              <w:spacing w:after="0" w:line="240" w:lineRule="auto"/>
              <w:rPr>
                <w:rFonts w:ascii="Arial" w:hAnsi="Arial" w:cs="Arial"/>
                <w:sz w:val="24"/>
                <w:szCs w:val="24"/>
              </w:rPr>
            </w:pPr>
            <w:r>
              <w:rPr>
                <w:rFonts w:ascii="Arial" w:hAnsi="Arial" w:cs="Arial"/>
                <w:sz w:val="24"/>
                <w:szCs w:val="24"/>
              </w:rPr>
              <w:lastRenderedPageBreak/>
              <w:t>148 &amp; 149</w:t>
            </w:r>
          </w:p>
        </w:tc>
        <w:tc>
          <w:tcPr>
            <w:tcW w:w="2162" w:type="dxa"/>
          </w:tcPr>
          <w:p w:rsidR="006B6737" w:rsidRPr="00081555" w:rsidRDefault="009004A6" w:rsidP="003835ED">
            <w:pPr>
              <w:pStyle w:val="NoSpacing"/>
              <w:rPr>
                <w:rFonts w:ascii="Arial" w:hAnsi="Arial" w:cs="Arial"/>
                <w:bCs/>
                <w:sz w:val="24"/>
                <w:szCs w:val="24"/>
              </w:rPr>
            </w:pPr>
            <w:r>
              <w:rPr>
                <w:rFonts w:ascii="Arial" w:hAnsi="Arial" w:cs="Arial"/>
                <w:bCs/>
                <w:sz w:val="24"/>
                <w:szCs w:val="24"/>
              </w:rPr>
              <w:t>Anti-Fraud Policy and Fraud Response Plan</w:t>
            </w:r>
          </w:p>
        </w:tc>
        <w:tc>
          <w:tcPr>
            <w:tcW w:w="7477" w:type="dxa"/>
          </w:tcPr>
          <w:p w:rsidR="009004A6" w:rsidRDefault="009004A6" w:rsidP="003835ED">
            <w:pPr>
              <w:spacing w:after="0" w:line="240" w:lineRule="auto"/>
              <w:rPr>
                <w:rFonts w:ascii="Arial" w:hAnsi="Arial" w:cs="Arial"/>
                <w:sz w:val="24"/>
                <w:szCs w:val="24"/>
              </w:rPr>
            </w:pPr>
            <w:r w:rsidRPr="009004A6">
              <w:rPr>
                <w:rFonts w:ascii="Arial" w:hAnsi="Arial" w:cs="Arial"/>
                <w:sz w:val="24"/>
                <w:szCs w:val="24"/>
              </w:rPr>
              <w:t xml:space="preserve">The Council </w:t>
            </w:r>
            <w:proofErr w:type="gramStart"/>
            <w:r w:rsidRPr="009004A6">
              <w:rPr>
                <w:rFonts w:ascii="Arial" w:hAnsi="Arial" w:cs="Arial"/>
                <w:sz w:val="24"/>
                <w:szCs w:val="24"/>
              </w:rPr>
              <w:t>are</w:t>
            </w:r>
            <w:proofErr w:type="gramEnd"/>
            <w:r w:rsidRPr="009004A6">
              <w:rPr>
                <w:rFonts w:ascii="Arial" w:hAnsi="Arial" w:cs="Arial"/>
                <w:sz w:val="24"/>
                <w:szCs w:val="24"/>
              </w:rPr>
              <w:t xml:space="preserve"> committed to protecting the public money we look after and to making sure that the opportunity for fraud or any other financial impropriety is reduced to the lowest possible risk.  </w:t>
            </w:r>
          </w:p>
          <w:p w:rsidR="00345E35" w:rsidRPr="009004A6" w:rsidRDefault="00345E35" w:rsidP="003835ED">
            <w:pPr>
              <w:spacing w:after="0" w:line="240" w:lineRule="auto"/>
              <w:rPr>
                <w:rFonts w:ascii="Arial" w:hAnsi="Arial" w:cs="Arial"/>
                <w:sz w:val="24"/>
                <w:szCs w:val="24"/>
              </w:rPr>
            </w:pPr>
          </w:p>
          <w:p w:rsidR="009004A6" w:rsidRDefault="009004A6" w:rsidP="003835ED">
            <w:pPr>
              <w:spacing w:after="0" w:line="240" w:lineRule="auto"/>
              <w:rPr>
                <w:rFonts w:ascii="Arial" w:hAnsi="Arial" w:cs="Arial"/>
                <w:sz w:val="24"/>
                <w:szCs w:val="24"/>
              </w:rPr>
            </w:pPr>
            <w:r w:rsidRPr="009004A6">
              <w:rPr>
                <w:rFonts w:ascii="Arial" w:hAnsi="Arial" w:cs="Arial"/>
                <w:sz w:val="24"/>
                <w:szCs w:val="24"/>
              </w:rPr>
              <w:t>Should allegations be made, we will deal with them in a firm and controlled manner. As well as being potentially criminal acts, fraud and financial impropriety can impact on the council’s finances, its reputation, its staff and its stakeholders.</w:t>
            </w:r>
          </w:p>
          <w:p w:rsidR="00E2092E" w:rsidRPr="009004A6" w:rsidRDefault="00E2092E" w:rsidP="003835ED">
            <w:pPr>
              <w:spacing w:after="0" w:line="240" w:lineRule="auto"/>
              <w:rPr>
                <w:rFonts w:ascii="Arial" w:hAnsi="Arial" w:cs="Arial"/>
                <w:sz w:val="24"/>
                <w:szCs w:val="24"/>
              </w:rPr>
            </w:pPr>
          </w:p>
          <w:p w:rsidR="009004A6" w:rsidRPr="009004A6" w:rsidRDefault="009004A6" w:rsidP="003835ED">
            <w:pPr>
              <w:spacing w:after="0" w:line="240" w:lineRule="auto"/>
              <w:rPr>
                <w:rFonts w:ascii="Arial" w:hAnsi="Arial" w:cs="Arial"/>
                <w:sz w:val="24"/>
                <w:szCs w:val="24"/>
              </w:rPr>
            </w:pPr>
            <w:r w:rsidRPr="009004A6">
              <w:rPr>
                <w:rFonts w:ascii="Arial" w:hAnsi="Arial" w:cs="Arial"/>
                <w:sz w:val="24"/>
                <w:szCs w:val="24"/>
              </w:rPr>
              <w:t>There is a clear commitment from the Council and Senior Management that fraud will not be tolerated and the Council is committed to ensuring that opportunities for fraud are reduced to the lowest possible level of risk.</w:t>
            </w:r>
          </w:p>
          <w:p w:rsidR="006B6737" w:rsidRPr="00081555" w:rsidRDefault="006B6737" w:rsidP="003835ED">
            <w:pPr>
              <w:pStyle w:val="ListParagraph"/>
              <w:ind w:left="780"/>
              <w:rPr>
                <w:rFonts w:ascii="Arial" w:hAnsi="Arial" w:cs="Arial"/>
              </w:rPr>
            </w:pPr>
          </w:p>
        </w:tc>
        <w:tc>
          <w:tcPr>
            <w:tcW w:w="1736" w:type="dxa"/>
          </w:tcPr>
          <w:p w:rsidR="006B6737" w:rsidRPr="00081555" w:rsidRDefault="006B6737" w:rsidP="003835ED">
            <w:pPr>
              <w:spacing w:after="0" w:line="240" w:lineRule="auto"/>
              <w:rPr>
                <w:rFonts w:ascii="Arial" w:hAnsi="Arial" w:cs="Arial"/>
                <w:sz w:val="24"/>
                <w:szCs w:val="24"/>
              </w:rPr>
            </w:pPr>
            <w:r w:rsidRPr="00081555">
              <w:rPr>
                <w:rFonts w:ascii="Arial" w:hAnsi="Arial" w:cs="Arial"/>
                <w:sz w:val="24"/>
                <w:szCs w:val="24"/>
              </w:rPr>
              <w:t>No EQIA considered necessary</w:t>
            </w:r>
          </w:p>
        </w:tc>
      </w:tr>
      <w:tr w:rsidR="006B6737" w:rsidRPr="00081555" w:rsidTr="00E2092E">
        <w:tc>
          <w:tcPr>
            <w:tcW w:w="1207" w:type="dxa"/>
          </w:tcPr>
          <w:p w:rsidR="006B6737" w:rsidRPr="00081555" w:rsidRDefault="006B6737" w:rsidP="003835ED">
            <w:pPr>
              <w:spacing w:after="0" w:line="240" w:lineRule="auto"/>
              <w:rPr>
                <w:rFonts w:ascii="Arial" w:hAnsi="Arial" w:cs="Arial"/>
                <w:sz w:val="24"/>
                <w:szCs w:val="24"/>
              </w:rPr>
            </w:pPr>
            <w:r w:rsidRPr="00081555">
              <w:rPr>
                <w:rFonts w:ascii="Arial" w:hAnsi="Arial" w:cs="Arial"/>
                <w:sz w:val="24"/>
                <w:szCs w:val="24"/>
              </w:rPr>
              <w:t>1</w:t>
            </w:r>
            <w:r w:rsidR="009004A6">
              <w:rPr>
                <w:rFonts w:ascii="Arial" w:hAnsi="Arial" w:cs="Arial"/>
                <w:sz w:val="24"/>
                <w:szCs w:val="24"/>
              </w:rPr>
              <w:t>50</w:t>
            </w:r>
          </w:p>
        </w:tc>
        <w:tc>
          <w:tcPr>
            <w:tcW w:w="2162" w:type="dxa"/>
          </w:tcPr>
          <w:p w:rsidR="006B6737" w:rsidRPr="00081555" w:rsidRDefault="009004A6" w:rsidP="003835ED">
            <w:pPr>
              <w:pStyle w:val="NoSpacing"/>
              <w:rPr>
                <w:rFonts w:ascii="Arial" w:hAnsi="Arial" w:cs="Arial"/>
                <w:bCs/>
                <w:sz w:val="24"/>
                <w:szCs w:val="24"/>
              </w:rPr>
            </w:pPr>
            <w:r>
              <w:rPr>
                <w:rFonts w:ascii="Arial" w:hAnsi="Arial" w:cs="Arial"/>
                <w:bCs/>
                <w:sz w:val="24"/>
                <w:szCs w:val="24"/>
              </w:rPr>
              <w:t xml:space="preserve">Whistleblowing Policy </w:t>
            </w:r>
          </w:p>
        </w:tc>
        <w:tc>
          <w:tcPr>
            <w:tcW w:w="7477" w:type="dxa"/>
          </w:tcPr>
          <w:p w:rsidR="00E2092E" w:rsidRDefault="00345E35" w:rsidP="003835ED">
            <w:pPr>
              <w:pStyle w:val="Default"/>
            </w:pPr>
            <w:r w:rsidRPr="003835ED">
              <w:t xml:space="preserve">All organisations face the risk of things going wrong from time to time, or of unknowingly harbouring illegal or unethical conduct. A culture of openness and accountability is essential in order to prevent such situations occurring and to address them when they do occur. </w:t>
            </w:r>
          </w:p>
          <w:p w:rsidR="00E2092E" w:rsidRDefault="00E2092E" w:rsidP="003835ED">
            <w:pPr>
              <w:pStyle w:val="Default"/>
            </w:pPr>
          </w:p>
          <w:p w:rsidR="00E2092E" w:rsidRDefault="009004A6" w:rsidP="003835ED">
            <w:pPr>
              <w:pStyle w:val="Default"/>
            </w:pPr>
            <w:r w:rsidRPr="003835ED">
              <w:t xml:space="preserve">The Council is committed to developing a culture where all employees are encouraged to raise concerns about poor and unacceptable practice and misconduct safely. </w:t>
            </w:r>
            <w:r w:rsidR="00E2092E">
              <w:t xml:space="preserve"> </w:t>
            </w:r>
            <w:r w:rsidR="00345E35">
              <w:t>W</w:t>
            </w:r>
            <w:r w:rsidRPr="003835ED">
              <w:t xml:space="preserve">histleblowing provides workers with an opportunity to raise serious, genuine concerns rather than overlooking the problem or blowing the whistle outside. </w:t>
            </w:r>
          </w:p>
          <w:p w:rsidR="00E2092E" w:rsidRDefault="00E2092E" w:rsidP="003835ED">
            <w:pPr>
              <w:pStyle w:val="Default"/>
            </w:pPr>
          </w:p>
          <w:p w:rsidR="009004A6" w:rsidRPr="003835ED" w:rsidRDefault="009004A6" w:rsidP="003835ED">
            <w:pPr>
              <w:pStyle w:val="Default"/>
            </w:pPr>
            <w:r w:rsidRPr="003835ED">
              <w:t xml:space="preserve">Whistleblowing legislation offers protection to workers who disclose serious concerns and the Council is committed to ensuring that </w:t>
            </w:r>
            <w:r w:rsidRPr="003835ED">
              <w:lastRenderedPageBreak/>
              <w:t>anyone who blows the whistle will not be victimised, harassed or suffer any detriment as a consequence.</w:t>
            </w:r>
          </w:p>
          <w:p w:rsidR="009004A6" w:rsidRPr="003835ED" w:rsidRDefault="009004A6" w:rsidP="003835ED">
            <w:pPr>
              <w:pStyle w:val="Default"/>
            </w:pPr>
          </w:p>
          <w:p w:rsidR="009004A6" w:rsidRPr="003835ED" w:rsidRDefault="009004A6" w:rsidP="003835ED">
            <w:pPr>
              <w:pStyle w:val="Default"/>
            </w:pPr>
            <w:r w:rsidRPr="003835ED">
              <w:t>The benefits of whistleblowing to the Council include:</w:t>
            </w:r>
          </w:p>
          <w:p w:rsidR="009004A6" w:rsidRPr="003835ED" w:rsidRDefault="009004A6" w:rsidP="003835ED">
            <w:pPr>
              <w:pStyle w:val="Default"/>
              <w:numPr>
                <w:ilvl w:val="0"/>
                <w:numId w:val="25"/>
              </w:numPr>
            </w:pPr>
            <w:r w:rsidRPr="003835ED">
              <w:t>safeguarding the integrity of the Council;</w:t>
            </w:r>
          </w:p>
          <w:p w:rsidR="009004A6" w:rsidRPr="003835ED" w:rsidRDefault="009004A6" w:rsidP="003835ED">
            <w:pPr>
              <w:pStyle w:val="Default"/>
              <w:numPr>
                <w:ilvl w:val="0"/>
                <w:numId w:val="25"/>
              </w:numPr>
            </w:pPr>
            <w:r w:rsidRPr="003835ED">
              <w:t>safeguarding the employees and the wider public; and</w:t>
            </w:r>
          </w:p>
          <w:p w:rsidR="009004A6" w:rsidRPr="003835ED" w:rsidRDefault="009004A6" w:rsidP="003835ED">
            <w:pPr>
              <w:pStyle w:val="Default"/>
              <w:numPr>
                <w:ilvl w:val="0"/>
                <w:numId w:val="25"/>
              </w:numPr>
            </w:pPr>
            <w:proofErr w:type="gramStart"/>
            <w:r w:rsidRPr="003835ED">
              <w:t>identifying</w:t>
            </w:r>
            <w:proofErr w:type="gramEnd"/>
            <w:r w:rsidRPr="003835ED">
              <w:t xml:space="preserve"> damage and wrongdoing as early as possible.</w:t>
            </w:r>
          </w:p>
          <w:p w:rsidR="006B6737" w:rsidRPr="003835ED" w:rsidRDefault="006B6737" w:rsidP="003835ED">
            <w:pPr>
              <w:spacing w:after="0" w:line="240" w:lineRule="auto"/>
              <w:rPr>
                <w:rFonts w:ascii="Arial" w:hAnsi="Arial" w:cs="Arial"/>
                <w:sz w:val="24"/>
                <w:szCs w:val="24"/>
              </w:rPr>
            </w:pPr>
          </w:p>
        </w:tc>
        <w:tc>
          <w:tcPr>
            <w:tcW w:w="1736" w:type="dxa"/>
          </w:tcPr>
          <w:p w:rsidR="006B6737" w:rsidRPr="00081555" w:rsidRDefault="006B6737" w:rsidP="003835ED">
            <w:pPr>
              <w:spacing w:after="0" w:line="240" w:lineRule="auto"/>
              <w:rPr>
                <w:rFonts w:ascii="Arial" w:hAnsi="Arial" w:cs="Arial"/>
                <w:sz w:val="24"/>
                <w:szCs w:val="24"/>
              </w:rPr>
            </w:pPr>
            <w:r w:rsidRPr="00081555">
              <w:rPr>
                <w:rFonts w:ascii="Arial" w:hAnsi="Arial" w:cs="Arial"/>
                <w:sz w:val="24"/>
                <w:szCs w:val="24"/>
              </w:rPr>
              <w:lastRenderedPageBreak/>
              <w:t>No EQIA considered necessary</w:t>
            </w:r>
          </w:p>
        </w:tc>
      </w:tr>
      <w:tr w:rsidR="006B6737" w:rsidRPr="00081555" w:rsidTr="00E2092E">
        <w:tc>
          <w:tcPr>
            <w:tcW w:w="1207" w:type="dxa"/>
          </w:tcPr>
          <w:p w:rsidR="006B6737" w:rsidRPr="00081555" w:rsidRDefault="006B6737" w:rsidP="003835ED">
            <w:pPr>
              <w:spacing w:after="0" w:line="240" w:lineRule="auto"/>
              <w:rPr>
                <w:rFonts w:ascii="Arial" w:hAnsi="Arial" w:cs="Arial"/>
                <w:sz w:val="24"/>
                <w:szCs w:val="24"/>
              </w:rPr>
            </w:pPr>
            <w:r w:rsidRPr="00081555">
              <w:rPr>
                <w:rFonts w:ascii="Arial" w:hAnsi="Arial" w:cs="Arial"/>
                <w:sz w:val="24"/>
                <w:szCs w:val="24"/>
              </w:rPr>
              <w:lastRenderedPageBreak/>
              <w:t>1</w:t>
            </w:r>
            <w:r w:rsidR="009004A6">
              <w:rPr>
                <w:rFonts w:ascii="Arial" w:hAnsi="Arial" w:cs="Arial"/>
                <w:sz w:val="24"/>
                <w:szCs w:val="24"/>
              </w:rPr>
              <w:t>53</w:t>
            </w:r>
          </w:p>
        </w:tc>
        <w:tc>
          <w:tcPr>
            <w:tcW w:w="2162" w:type="dxa"/>
          </w:tcPr>
          <w:p w:rsidR="006B6737" w:rsidRPr="003835ED" w:rsidRDefault="009004A6" w:rsidP="003835ED">
            <w:pPr>
              <w:pStyle w:val="NoSpacing"/>
              <w:rPr>
                <w:rFonts w:ascii="Arial" w:hAnsi="Arial" w:cs="Arial"/>
                <w:bCs/>
                <w:sz w:val="24"/>
                <w:szCs w:val="24"/>
              </w:rPr>
            </w:pPr>
            <w:r w:rsidRPr="009004A6">
              <w:rPr>
                <w:rFonts w:ascii="Arial" w:eastAsia="Times New Roman" w:hAnsi="Arial" w:cs="Arial"/>
                <w:color w:val="000000"/>
                <w:sz w:val="24"/>
                <w:szCs w:val="24"/>
                <w:lang w:eastAsia="en-GB"/>
              </w:rPr>
              <w:t>Policy for the use of play inflatables on/in Council owned properties</w:t>
            </w:r>
          </w:p>
        </w:tc>
        <w:tc>
          <w:tcPr>
            <w:tcW w:w="7477" w:type="dxa"/>
          </w:tcPr>
          <w:p w:rsidR="00E2092E" w:rsidRDefault="003835ED" w:rsidP="003835ED">
            <w:pPr>
              <w:spacing w:after="0" w:line="240" w:lineRule="auto"/>
              <w:rPr>
                <w:rFonts w:ascii="Arial" w:hAnsi="Arial" w:cs="Arial"/>
                <w:sz w:val="24"/>
                <w:szCs w:val="24"/>
              </w:rPr>
            </w:pPr>
            <w:r w:rsidRPr="003835ED">
              <w:rPr>
                <w:rFonts w:ascii="Arial" w:hAnsi="Arial" w:cs="Arial"/>
                <w:sz w:val="24"/>
                <w:szCs w:val="24"/>
              </w:rPr>
              <w:t>The aim of this policy is to build on the Council’s civic</w:t>
            </w:r>
            <w:r w:rsidR="00E2092E">
              <w:rPr>
                <w:rFonts w:ascii="Arial" w:hAnsi="Arial" w:cs="Arial"/>
                <w:sz w:val="24"/>
                <w:szCs w:val="24"/>
              </w:rPr>
              <w:t xml:space="preserve"> </w:t>
            </w:r>
            <w:r w:rsidRPr="003835ED">
              <w:rPr>
                <w:rFonts w:ascii="Arial" w:hAnsi="Arial" w:cs="Arial"/>
                <w:sz w:val="24"/>
                <w:szCs w:val="24"/>
              </w:rPr>
              <w:t xml:space="preserve">leadership role and give appropriate consideration and recognition to </w:t>
            </w:r>
            <w:r w:rsidRPr="003835ED">
              <w:rPr>
                <w:rFonts w:ascii="Arial" w:hAnsi="Arial" w:cs="Arial"/>
                <w:bCs/>
                <w:sz w:val="24"/>
                <w:szCs w:val="24"/>
              </w:rPr>
              <w:t>communities</w:t>
            </w:r>
            <w:r w:rsidR="00E2092E">
              <w:rPr>
                <w:rFonts w:ascii="Arial" w:hAnsi="Arial" w:cs="Arial"/>
                <w:bCs/>
                <w:sz w:val="24"/>
                <w:szCs w:val="24"/>
              </w:rPr>
              <w:t>’</w:t>
            </w:r>
            <w:r w:rsidRPr="003835ED">
              <w:rPr>
                <w:rFonts w:ascii="Arial" w:hAnsi="Arial" w:cs="Arial"/>
                <w:bCs/>
                <w:sz w:val="24"/>
                <w:szCs w:val="24"/>
              </w:rPr>
              <w:t xml:space="preserve"> use of play inflatables as an important aspect of community engagement and capacity building within the </w:t>
            </w:r>
            <w:proofErr w:type="spellStart"/>
            <w:r w:rsidRPr="003835ED">
              <w:rPr>
                <w:rFonts w:ascii="Arial" w:hAnsi="Arial" w:cs="Arial"/>
                <w:bCs/>
                <w:sz w:val="24"/>
                <w:szCs w:val="24"/>
              </w:rPr>
              <w:t>Newry</w:t>
            </w:r>
            <w:proofErr w:type="spellEnd"/>
            <w:r w:rsidRPr="003835ED">
              <w:rPr>
                <w:rFonts w:ascii="Arial" w:hAnsi="Arial" w:cs="Arial"/>
                <w:bCs/>
                <w:sz w:val="24"/>
                <w:szCs w:val="24"/>
              </w:rPr>
              <w:t xml:space="preserve">, </w:t>
            </w:r>
            <w:proofErr w:type="spellStart"/>
            <w:r w:rsidRPr="003835ED">
              <w:rPr>
                <w:rFonts w:ascii="Arial" w:hAnsi="Arial" w:cs="Arial"/>
                <w:bCs/>
                <w:sz w:val="24"/>
                <w:szCs w:val="24"/>
              </w:rPr>
              <w:t>Mourne</w:t>
            </w:r>
            <w:proofErr w:type="spellEnd"/>
            <w:r w:rsidRPr="003835ED">
              <w:rPr>
                <w:rFonts w:ascii="Arial" w:hAnsi="Arial" w:cs="Arial"/>
                <w:bCs/>
                <w:sz w:val="24"/>
                <w:szCs w:val="24"/>
              </w:rPr>
              <w:t xml:space="preserve"> and Down District Council area.</w:t>
            </w:r>
            <w:r w:rsidRPr="003835ED">
              <w:rPr>
                <w:rFonts w:ascii="Arial" w:hAnsi="Arial" w:cs="Arial"/>
                <w:sz w:val="24"/>
                <w:szCs w:val="24"/>
              </w:rPr>
              <w:t xml:space="preserve"> </w:t>
            </w:r>
          </w:p>
          <w:p w:rsidR="00E2092E" w:rsidRDefault="00E2092E" w:rsidP="003835ED">
            <w:pPr>
              <w:spacing w:after="0" w:line="240" w:lineRule="auto"/>
              <w:rPr>
                <w:rFonts w:ascii="Arial" w:hAnsi="Arial" w:cs="Arial"/>
                <w:sz w:val="24"/>
                <w:szCs w:val="24"/>
              </w:rPr>
            </w:pPr>
          </w:p>
          <w:p w:rsidR="003835ED" w:rsidRPr="003835ED" w:rsidRDefault="003835ED" w:rsidP="003835ED">
            <w:pPr>
              <w:spacing w:after="0" w:line="240" w:lineRule="auto"/>
              <w:rPr>
                <w:rFonts w:ascii="Arial" w:hAnsi="Arial" w:cs="Arial"/>
                <w:sz w:val="24"/>
                <w:szCs w:val="24"/>
              </w:rPr>
            </w:pPr>
            <w:r w:rsidRPr="003835ED">
              <w:rPr>
                <w:rFonts w:ascii="Arial" w:hAnsi="Arial" w:cs="Arial"/>
                <w:sz w:val="24"/>
                <w:szCs w:val="24"/>
              </w:rPr>
              <w:t>The policy applies to the use of play inflatables by Council staff and by the community and voluntary sector on council property, and the scope of the policy will extend to providing advice, training and equipment in some instances.</w:t>
            </w:r>
          </w:p>
          <w:p w:rsidR="006B6737" w:rsidRPr="00081555" w:rsidRDefault="006B6737" w:rsidP="003835ED">
            <w:pPr>
              <w:spacing w:after="0" w:line="240" w:lineRule="auto"/>
              <w:rPr>
                <w:rFonts w:ascii="Arial" w:hAnsi="Arial" w:cs="Arial"/>
                <w:sz w:val="24"/>
                <w:szCs w:val="24"/>
              </w:rPr>
            </w:pPr>
          </w:p>
        </w:tc>
        <w:tc>
          <w:tcPr>
            <w:tcW w:w="1736" w:type="dxa"/>
          </w:tcPr>
          <w:p w:rsidR="006B6737" w:rsidRPr="00081555" w:rsidRDefault="006B6737" w:rsidP="003835ED">
            <w:pPr>
              <w:spacing w:after="0" w:line="240" w:lineRule="auto"/>
              <w:rPr>
                <w:rFonts w:ascii="Arial" w:hAnsi="Arial" w:cs="Arial"/>
                <w:sz w:val="24"/>
                <w:szCs w:val="24"/>
              </w:rPr>
            </w:pPr>
            <w:r w:rsidRPr="00081555">
              <w:rPr>
                <w:rFonts w:ascii="Arial" w:hAnsi="Arial" w:cs="Arial"/>
                <w:sz w:val="24"/>
                <w:szCs w:val="24"/>
              </w:rPr>
              <w:t>No EQIA considered necessary</w:t>
            </w:r>
          </w:p>
        </w:tc>
      </w:tr>
      <w:tr w:rsidR="006B6737" w:rsidRPr="00081555" w:rsidTr="00E2092E">
        <w:tc>
          <w:tcPr>
            <w:tcW w:w="1207" w:type="dxa"/>
          </w:tcPr>
          <w:p w:rsidR="006B6737" w:rsidRPr="00081555" w:rsidRDefault="006B6737" w:rsidP="003835ED">
            <w:pPr>
              <w:spacing w:after="0" w:line="240" w:lineRule="auto"/>
              <w:rPr>
                <w:rFonts w:ascii="Arial" w:hAnsi="Arial" w:cs="Arial"/>
                <w:sz w:val="24"/>
                <w:szCs w:val="24"/>
              </w:rPr>
            </w:pPr>
            <w:r w:rsidRPr="00081555">
              <w:rPr>
                <w:rFonts w:ascii="Arial" w:hAnsi="Arial" w:cs="Arial"/>
                <w:sz w:val="24"/>
                <w:szCs w:val="24"/>
              </w:rPr>
              <w:t>1</w:t>
            </w:r>
            <w:r w:rsidR="003835ED">
              <w:rPr>
                <w:rFonts w:ascii="Arial" w:hAnsi="Arial" w:cs="Arial"/>
                <w:sz w:val="24"/>
                <w:szCs w:val="24"/>
              </w:rPr>
              <w:t>54</w:t>
            </w:r>
          </w:p>
        </w:tc>
        <w:tc>
          <w:tcPr>
            <w:tcW w:w="2162" w:type="dxa"/>
          </w:tcPr>
          <w:p w:rsidR="006B6737" w:rsidRDefault="003835ED" w:rsidP="003835ED">
            <w:pPr>
              <w:pStyle w:val="NoSpacing"/>
              <w:rPr>
                <w:rFonts w:ascii="Arial" w:eastAsia="Times New Roman" w:hAnsi="Arial" w:cs="Arial"/>
                <w:color w:val="000000"/>
                <w:sz w:val="24"/>
                <w:szCs w:val="24"/>
                <w:lang w:eastAsia="en-GB"/>
              </w:rPr>
            </w:pPr>
            <w:r w:rsidRPr="009004A6">
              <w:rPr>
                <w:rFonts w:ascii="Arial" w:eastAsia="Times New Roman" w:hAnsi="Arial" w:cs="Arial"/>
                <w:color w:val="000000"/>
                <w:sz w:val="24"/>
                <w:szCs w:val="24"/>
                <w:lang w:eastAsia="en-GB"/>
              </w:rPr>
              <w:t>Caravan Site Licencing Conditions Policy (Residential Caravan Sites)</w:t>
            </w:r>
          </w:p>
          <w:p w:rsidR="00345E35" w:rsidRPr="003835ED" w:rsidRDefault="00345E35" w:rsidP="003835ED">
            <w:pPr>
              <w:pStyle w:val="NoSpacing"/>
              <w:rPr>
                <w:rFonts w:ascii="Arial" w:hAnsi="Arial" w:cs="Arial"/>
                <w:bCs/>
                <w:sz w:val="24"/>
                <w:szCs w:val="24"/>
              </w:rPr>
            </w:pPr>
          </w:p>
        </w:tc>
        <w:tc>
          <w:tcPr>
            <w:tcW w:w="7477" w:type="dxa"/>
          </w:tcPr>
          <w:p w:rsidR="003835ED" w:rsidRPr="003835ED" w:rsidRDefault="003835ED" w:rsidP="003835ED">
            <w:pPr>
              <w:spacing w:after="0" w:line="240" w:lineRule="auto"/>
              <w:rPr>
                <w:rFonts w:ascii="Arial" w:hAnsi="Arial" w:cs="Arial"/>
                <w:sz w:val="24"/>
                <w:szCs w:val="24"/>
              </w:rPr>
            </w:pPr>
            <w:r w:rsidRPr="003835ED">
              <w:rPr>
                <w:rFonts w:ascii="Arial" w:hAnsi="Arial" w:cs="Arial"/>
                <w:sz w:val="24"/>
                <w:szCs w:val="24"/>
              </w:rPr>
              <w:t xml:space="preserve">The purpose of this Policy is to provide a consistent approach to the enforcement of caravan site </w:t>
            </w:r>
            <w:proofErr w:type="spellStart"/>
            <w:r w:rsidRPr="003835ED">
              <w:rPr>
                <w:rFonts w:ascii="Arial" w:hAnsi="Arial" w:cs="Arial"/>
                <w:sz w:val="24"/>
                <w:szCs w:val="24"/>
              </w:rPr>
              <w:t>licencing</w:t>
            </w:r>
            <w:proofErr w:type="spellEnd"/>
            <w:r w:rsidRPr="003835ED">
              <w:rPr>
                <w:rFonts w:ascii="Arial" w:hAnsi="Arial" w:cs="Arial"/>
                <w:sz w:val="24"/>
                <w:szCs w:val="24"/>
              </w:rPr>
              <w:t>.</w:t>
            </w:r>
          </w:p>
          <w:p w:rsidR="006B6737" w:rsidRPr="00081555" w:rsidRDefault="006B6737" w:rsidP="003835ED">
            <w:pPr>
              <w:spacing w:after="0" w:line="240" w:lineRule="auto"/>
              <w:rPr>
                <w:rFonts w:ascii="Arial" w:hAnsi="Arial" w:cs="Arial"/>
                <w:sz w:val="24"/>
                <w:szCs w:val="24"/>
              </w:rPr>
            </w:pPr>
          </w:p>
        </w:tc>
        <w:tc>
          <w:tcPr>
            <w:tcW w:w="1736" w:type="dxa"/>
          </w:tcPr>
          <w:p w:rsidR="006B6737" w:rsidRPr="00081555" w:rsidRDefault="006B6737" w:rsidP="003835ED">
            <w:pPr>
              <w:spacing w:after="0" w:line="240" w:lineRule="auto"/>
              <w:rPr>
                <w:rFonts w:ascii="Arial" w:hAnsi="Arial" w:cs="Arial"/>
                <w:sz w:val="24"/>
                <w:szCs w:val="24"/>
              </w:rPr>
            </w:pPr>
            <w:r w:rsidRPr="00081555">
              <w:rPr>
                <w:rFonts w:ascii="Arial" w:hAnsi="Arial" w:cs="Arial"/>
                <w:sz w:val="24"/>
                <w:szCs w:val="24"/>
              </w:rPr>
              <w:t>No EQIA considered necessary</w:t>
            </w:r>
          </w:p>
        </w:tc>
      </w:tr>
      <w:tr w:rsidR="006B6737" w:rsidRPr="00081555" w:rsidTr="00E2092E">
        <w:tc>
          <w:tcPr>
            <w:tcW w:w="1207" w:type="dxa"/>
          </w:tcPr>
          <w:p w:rsidR="006B6737" w:rsidRPr="00081555" w:rsidRDefault="006B6737" w:rsidP="003835ED">
            <w:pPr>
              <w:spacing w:after="0" w:line="240" w:lineRule="auto"/>
              <w:rPr>
                <w:rFonts w:ascii="Arial" w:hAnsi="Arial" w:cs="Arial"/>
                <w:sz w:val="24"/>
                <w:szCs w:val="24"/>
              </w:rPr>
            </w:pPr>
            <w:r w:rsidRPr="00081555">
              <w:rPr>
                <w:rFonts w:ascii="Arial" w:hAnsi="Arial" w:cs="Arial"/>
                <w:sz w:val="24"/>
                <w:szCs w:val="24"/>
              </w:rPr>
              <w:t>1</w:t>
            </w:r>
            <w:r w:rsidR="003835ED">
              <w:rPr>
                <w:rFonts w:ascii="Arial" w:hAnsi="Arial" w:cs="Arial"/>
                <w:sz w:val="24"/>
                <w:szCs w:val="24"/>
              </w:rPr>
              <w:t>55</w:t>
            </w:r>
          </w:p>
        </w:tc>
        <w:tc>
          <w:tcPr>
            <w:tcW w:w="2162" w:type="dxa"/>
          </w:tcPr>
          <w:p w:rsidR="006B6737" w:rsidRPr="003835ED" w:rsidRDefault="003835ED" w:rsidP="003835ED">
            <w:pPr>
              <w:pStyle w:val="NoSpacing"/>
              <w:rPr>
                <w:rFonts w:ascii="Arial" w:hAnsi="Arial" w:cs="Arial"/>
                <w:bCs/>
                <w:sz w:val="24"/>
                <w:szCs w:val="24"/>
              </w:rPr>
            </w:pPr>
            <w:r w:rsidRPr="009004A6">
              <w:rPr>
                <w:rFonts w:ascii="Arial" w:eastAsia="Times New Roman" w:hAnsi="Arial" w:cs="Arial"/>
                <w:color w:val="000000"/>
                <w:sz w:val="24"/>
                <w:szCs w:val="24"/>
                <w:lang w:eastAsia="en-GB"/>
              </w:rPr>
              <w:t>Caravan Site Licencing Conditions Policy (Static Holiday and</w:t>
            </w:r>
            <w:r>
              <w:rPr>
                <w:rFonts w:ascii="Arial" w:eastAsia="Times New Roman" w:hAnsi="Arial" w:cs="Arial"/>
                <w:color w:val="000000"/>
                <w:sz w:val="24"/>
                <w:szCs w:val="24"/>
                <w:lang w:eastAsia="en-GB"/>
              </w:rPr>
              <w:t xml:space="preserve"> </w:t>
            </w:r>
            <w:r w:rsidRPr="009004A6">
              <w:rPr>
                <w:rFonts w:ascii="Arial" w:eastAsia="Times New Roman" w:hAnsi="Arial" w:cs="Arial"/>
                <w:color w:val="000000"/>
                <w:sz w:val="24"/>
                <w:szCs w:val="24"/>
                <w:lang w:eastAsia="en-GB"/>
              </w:rPr>
              <w:t>Touring Caravan Sites)</w:t>
            </w:r>
          </w:p>
        </w:tc>
        <w:tc>
          <w:tcPr>
            <w:tcW w:w="7477" w:type="dxa"/>
          </w:tcPr>
          <w:p w:rsidR="00345E35" w:rsidRPr="00345E35" w:rsidRDefault="00345E35" w:rsidP="00345E35">
            <w:pPr>
              <w:spacing w:after="0" w:line="240" w:lineRule="auto"/>
              <w:rPr>
                <w:rFonts w:ascii="Arial" w:hAnsi="Arial" w:cs="Arial"/>
                <w:sz w:val="24"/>
                <w:szCs w:val="24"/>
              </w:rPr>
            </w:pPr>
            <w:r w:rsidRPr="00345E35">
              <w:rPr>
                <w:rFonts w:ascii="Arial" w:hAnsi="Arial" w:cs="Arial"/>
                <w:sz w:val="24"/>
                <w:szCs w:val="24"/>
              </w:rPr>
              <w:t xml:space="preserve">The purpose of this Policy is to provide a consistent approach to the enforcement of caravan site </w:t>
            </w:r>
            <w:proofErr w:type="spellStart"/>
            <w:r w:rsidRPr="00345E35">
              <w:rPr>
                <w:rFonts w:ascii="Arial" w:hAnsi="Arial" w:cs="Arial"/>
                <w:sz w:val="24"/>
                <w:szCs w:val="24"/>
              </w:rPr>
              <w:t>licencing</w:t>
            </w:r>
            <w:proofErr w:type="spellEnd"/>
            <w:r w:rsidRPr="00345E35">
              <w:rPr>
                <w:rFonts w:ascii="Arial" w:hAnsi="Arial" w:cs="Arial"/>
                <w:sz w:val="24"/>
                <w:szCs w:val="24"/>
              </w:rPr>
              <w:t>.</w:t>
            </w:r>
          </w:p>
          <w:p w:rsidR="006B6737" w:rsidRPr="00081555" w:rsidRDefault="006B6737" w:rsidP="00345E35">
            <w:pPr>
              <w:pStyle w:val="NoSpacing"/>
              <w:rPr>
                <w:rFonts w:ascii="Arial" w:hAnsi="Arial" w:cs="Arial"/>
                <w:bCs/>
                <w:sz w:val="24"/>
                <w:szCs w:val="24"/>
              </w:rPr>
            </w:pPr>
          </w:p>
        </w:tc>
        <w:tc>
          <w:tcPr>
            <w:tcW w:w="1736" w:type="dxa"/>
          </w:tcPr>
          <w:p w:rsidR="006B6737" w:rsidRPr="00081555" w:rsidRDefault="006B6737" w:rsidP="003835ED">
            <w:pPr>
              <w:spacing w:after="0" w:line="240" w:lineRule="auto"/>
              <w:rPr>
                <w:rFonts w:ascii="Arial" w:hAnsi="Arial" w:cs="Arial"/>
                <w:sz w:val="24"/>
                <w:szCs w:val="24"/>
              </w:rPr>
            </w:pPr>
            <w:r w:rsidRPr="00081555">
              <w:rPr>
                <w:rFonts w:ascii="Arial" w:hAnsi="Arial" w:cs="Arial"/>
                <w:sz w:val="24"/>
                <w:szCs w:val="24"/>
              </w:rPr>
              <w:t>No EQIA considered necessary</w:t>
            </w:r>
          </w:p>
        </w:tc>
      </w:tr>
    </w:tbl>
    <w:p w:rsidR="00B7521C" w:rsidRPr="00081555" w:rsidRDefault="00B7521C">
      <w:pPr>
        <w:rPr>
          <w:rFonts w:ascii="Arial" w:hAnsi="Arial" w:cs="Arial"/>
          <w:sz w:val="24"/>
          <w:szCs w:val="24"/>
          <w:lang w:val="en-GB"/>
        </w:rPr>
      </w:pPr>
    </w:p>
    <w:sectPr w:rsidR="00B7521C" w:rsidRPr="00081555" w:rsidSect="00B7521C">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407E" w:rsidRDefault="00A1407E">
      <w:pPr>
        <w:spacing w:after="0" w:line="240" w:lineRule="auto"/>
        <w:rPr>
          <w:rFonts w:ascii="Times New Roman" w:hAnsi="Times New Roman" w:cs="Times New Roman"/>
        </w:rPr>
      </w:pPr>
      <w:r>
        <w:rPr>
          <w:rFonts w:ascii="Times New Roman" w:hAnsi="Times New Roman" w:cs="Times New Roman"/>
        </w:rPr>
        <w:separator/>
      </w:r>
    </w:p>
  </w:endnote>
  <w:endnote w:type="continuationSeparator" w:id="0">
    <w:p w:rsidR="00A1407E" w:rsidRDefault="00A1407E">
      <w:pPr>
        <w:spacing w:after="0"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407E" w:rsidRDefault="00A1407E">
      <w:pPr>
        <w:spacing w:after="0" w:line="240" w:lineRule="auto"/>
        <w:rPr>
          <w:rFonts w:ascii="Times New Roman" w:hAnsi="Times New Roman" w:cs="Times New Roman"/>
        </w:rPr>
      </w:pPr>
      <w:r>
        <w:rPr>
          <w:rFonts w:ascii="Times New Roman" w:hAnsi="Times New Roman" w:cs="Times New Roman"/>
        </w:rPr>
        <w:separator/>
      </w:r>
    </w:p>
  </w:footnote>
  <w:footnote w:type="continuationSeparator" w:id="0">
    <w:p w:rsidR="00A1407E" w:rsidRDefault="00A1407E">
      <w:pPr>
        <w:spacing w:after="0" w:line="240" w:lineRule="auto"/>
        <w:rPr>
          <w:rFonts w:ascii="Times New Roman" w:hAnsi="Times New Roman" w:cs="Times New Roman"/>
        </w:rPr>
      </w:pPr>
      <w:r>
        <w:rPr>
          <w:rFonts w:ascii="Times New Roman" w:hAnsi="Times New Roman"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C32B1"/>
    <w:multiLevelType w:val="hybridMultilevel"/>
    <w:tmpl w:val="EBAA9C98"/>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2094CC3"/>
    <w:multiLevelType w:val="hybridMultilevel"/>
    <w:tmpl w:val="9F16871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0EFD384F"/>
    <w:multiLevelType w:val="hybridMultilevel"/>
    <w:tmpl w:val="16BCA0D2"/>
    <w:lvl w:ilvl="0" w:tplc="08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
    <w:nsid w:val="109A1839"/>
    <w:multiLevelType w:val="hybridMultilevel"/>
    <w:tmpl w:val="E674AFE0"/>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4">
    <w:nsid w:val="19A928E9"/>
    <w:multiLevelType w:val="hybridMultilevel"/>
    <w:tmpl w:val="63B6CC4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nsid w:val="21CC46F7"/>
    <w:multiLevelType w:val="hybridMultilevel"/>
    <w:tmpl w:val="51C8DD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2B4B226D"/>
    <w:multiLevelType w:val="hybridMultilevel"/>
    <w:tmpl w:val="D8AA7EC8"/>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7">
    <w:nsid w:val="366B7589"/>
    <w:multiLevelType w:val="hybridMultilevel"/>
    <w:tmpl w:val="0334375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E311E8F"/>
    <w:multiLevelType w:val="hybridMultilevel"/>
    <w:tmpl w:val="1BC47C84"/>
    <w:lvl w:ilvl="0" w:tplc="04090003">
      <w:start w:val="1"/>
      <w:numFmt w:val="bullet"/>
      <w:lvlText w:val="o"/>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9">
    <w:nsid w:val="45A22ADC"/>
    <w:multiLevelType w:val="hybridMultilevel"/>
    <w:tmpl w:val="E08AD4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Times New Roman" w:hint="default"/>
      </w:rPr>
    </w:lvl>
    <w:lvl w:ilvl="3" w:tplc="08090001">
      <w:start w:val="1"/>
      <w:numFmt w:val="bullet"/>
      <w:lvlText w:val=""/>
      <w:lvlJc w:val="left"/>
      <w:pPr>
        <w:ind w:left="2520" w:hanging="360"/>
      </w:pPr>
      <w:rPr>
        <w:rFonts w:ascii="Symbol" w:hAnsi="Symbol" w:cs="Times New Roman"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Times New Roman" w:hint="default"/>
      </w:rPr>
    </w:lvl>
    <w:lvl w:ilvl="6" w:tplc="08090001">
      <w:start w:val="1"/>
      <w:numFmt w:val="bullet"/>
      <w:lvlText w:val=""/>
      <w:lvlJc w:val="left"/>
      <w:pPr>
        <w:ind w:left="4680" w:hanging="360"/>
      </w:pPr>
      <w:rPr>
        <w:rFonts w:ascii="Symbol" w:hAnsi="Symbol" w:cs="Times New Roman"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Times New Roman" w:hint="default"/>
      </w:rPr>
    </w:lvl>
  </w:abstractNum>
  <w:abstractNum w:abstractNumId="10">
    <w:nsid w:val="47706510"/>
    <w:multiLevelType w:val="hybridMultilevel"/>
    <w:tmpl w:val="A5949546"/>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1">
    <w:nsid w:val="494E05D0"/>
    <w:multiLevelType w:val="hybridMultilevel"/>
    <w:tmpl w:val="5240B5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4FA955A1"/>
    <w:multiLevelType w:val="hybridMultilevel"/>
    <w:tmpl w:val="7EBA09AC"/>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3">
    <w:nsid w:val="5C207693"/>
    <w:multiLevelType w:val="hybridMultilevel"/>
    <w:tmpl w:val="6820F18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5E6105BF"/>
    <w:multiLevelType w:val="hybridMultilevel"/>
    <w:tmpl w:val="44B8CFEE"/>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FB73D81"/>
    <w:multiLevelType w:val="hybridMultilevel"/>
    <w:tmpl w:val="8A626648"/>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6">
    <w:nsid w:val="61152A77"/>
    <w:multiLevelType w:val="hybridMultilevel"/>
    <w:tmpl w:val="85C2092E"/>
    <w:lvl w:ilvl="0" w:tplc="04090001">
      <w:start w:val="1"/>
      <w:numFmt w:val="bullet"/>
      <w:lvlText w:val=""/>
      <w:lvlJc w:val="left"/>
      <w:pPr>
        <w:tabs>
          <w:tab w:val="num" w:pos="360"/>
        </w:tabs>
        <w:ind w:left="360" w:hanging="360"/>
      </w:pPr>
      <w:rPr>
        <w:rFonts w:ascii="Symbol" w:hAnsi="Symbol"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cs="Times New Roman"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17">
    <w:nsid w:val="6250741D"/>
    <w:multiLevelType w:val="hybridMultilevel"/>
    <w:tmpl w:val="7786E1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6B6B4728"/>
    <w:multiLevelType w:val="hybridMultilevel"/>
    <w:tmpl w:val="FCF4E382"/>
    <w:lvl w:ilvl="0" w:tplc="04090001">
      <w:start w:val="1"/>
      <w:numFmt w:val="bullet"/>
      <w:lvlText w:val=""/>
      <w:lvlJc w:val="left"/>
      <w:pPr>
        <w:tabs>
          <w:tab w:val="num" w:pos="1440"/>
        </w:tabs>
        <w:ind w:left="1440" w:hanging="360"/>
      </w:pPr>
      <w:rPr>
        <w:rFonts w:ascii="Symbol" w:hAnsi="Symbol" w:cs="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19">
    <w:nsid w:val="6BC24C88"/>
    <w:multiLevelType w:val="hybridMultilevel"/>
    <w:tmpl w:val="21B0E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0291D3F"/>
    <w:multiLevelType w:val="hybridMultilevel"/>
    <w:tmpl w:val="6D968A9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nsid w:val="71615678"/>
    <w:multiLevelType w:val="hybridMultilevel"/>
    <w:tmpl w:val="EB3630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77ED032F"/>
    <w:multiLevelType w:val="hybridMultilevel"/>
    <w:tmpl w:val="5D2AB170"/>
    <w:lvl w:ilvl="0" w:tplc="0809000D">
      <w:start w:val="1"/>
      <w:numFmt w:val="bullet"/>
      <w:lvlText w:val=""/>
      <w:lvlJc w:val="left"/>
      <w:pPr>
        <w:ind w:left="720" w:hanging="360"/>
      </w:pPr>
      <w:rPr>
        <w:rFonts w:ascii="Wingdings" w:hAnsi="Wingdings" w:cs="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3">
    <w:nsid w:val="7E2B1A17"/>
    <w:multiLevelType w:val="hybridMultilevel"/>
    <w:tmpl w:val="1902A372"/>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7ED33F08"/>
    <w:multiLevelType w:val="hybridMultilevel"/>
    <w:tmpl w:val="68FC12EC"/>
    <w:lvl w:ilvl="0" w:tplc="04090001">
      <w:start w:val="1"/>
      <w:numFmt w:val="bullet"/>
      <w:lvlText w:val=""/>
      <w:lvlJc w:val="left"/>
      <w:pPr>
        <w:tabs>
          <w:tab w:val="num" w:pos="360"/>
        </w:tabs>
        <w:ind w:left="36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num w:numId="1">
    <w:abstractNumId w:val="18"/>
  </w:num>
  <w:num w:numId="2">
    <w:abstractNumId w:val="12"/>
  </w:num>
  <w:num w:numId="3">
    <w:abstractNumId w:val="24"/>
  </w:num>
  <w:num w:numId="4">
    <w:abstractNumId w:val="10"/>
  </w:num>
  <w:num w:numId="5">
    <w:abstractNumId w:val="3"/>
  </w:num>
  <w:num w:numId="6">
    <w:abstractNumId w:val="22"/>
  </w:num>
  <w:num w:numId="7">
    <w:abstractNumId w:val="15"/>
  </w:num>
  <w:num w:numId="8">
    <w:abstractNumId w:val="8"/>
  </w:num>
  <w:num w:numId="9">
    <w:abstractNumId w:val="6"/>
  </w:num>
  <w:num w:numId="10">
    <w:abstractNumId w:val="2"/>
  </w:num>
  <w:num w:numId="11">
    <w:abstractNumId w:val="9"/>
  </w:num>
  <w:num w:numId="12">
    <w:abstractNumId w:val="16"/>
  </w:num>
  <w:num w:numId="13">
    <w:abstractNumId w:val="0"/>
  </w:num>
  <w:num w:numId="14">
    <w:abstractNumId w:val="23"/>
  </w:num>
  <w:num w:numId="15">
    <w:abstractNumId w:val="7"/>
  </w:num>
  <w:num w:numId="16">
    <w:abstractNumId w:val="20"/>
  </w:num>
  <w:num w:numId="17">
    <w:abstractNumId w:val="17"/>
  </w:num>
  <w:num w:numId="18">
    <w:abstractNumId w:val="21"/>
  </w:num>
  <w:num w:numId="19">
    <w:abstractNumId w:val="19"/>
  </w:num>
  <w:num w:numId="20">
    <w:abstractNumId w:val="5"/>
  </w:num>
  <w:num w:numId="21">
    <w:abstractNumId w:val="13"/>
  </w:num>
  <w:num w:numId="22">
    <w:abstractNumId w:val="4"/>
  </w:num>
  <w:num w:numId="23">
    <w:abstractNumId w:val="11"/>
  </w:num>
  <w:num w:numId="24">
    <w:abstractNumId w:val="1"/>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defaultTabStop w:val="720"/>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21C"/>
    <w:rsid w:val="000329E9"/>
    <w:rsid w:val="00054D54"/>
    <w:rsid w:val="00081555"/>
    <w:rsid w:val="000F62A6"/>
    <w:rsid w:val="002D68BB"/>
    <w:rsid w:val="002E0AFD"/>
    <w:rsid w:val="00306C62"/>
    <w:rsid w:val="00345360"/>
    <w:rsid w:val="00345E35"/>
    <w:rsid w:val="00364DF7"/>
    <w:rsid w:val="003835ED"/>
    <w:rsid w:val="004D0DD5"/>
    <w:rsid w:val="005D1FDD"/>
    <w:rsid w:val="006B6737"/>
    <w:rsid w:val="006B7325"/>
    <w:rsid w:val="0072464C"/>
    <w:rsid w:val="00824556"/>
    <w:rsid w:val="0082766D"/>
    <w:rsid w:val="009004A6"/>
    <w:rsid w:val="00926ADE"/>
    <w:rsid w:val="009668F5"/>
    <w:rsid w:val="009B6D6D"/>
    <w:rsid w:val="00A1407E"/>
    <w:rsid w:val="00B26EB6"/>
    <w:rsid w:val="00B4654E"/>
    <w:rsid w:val="00B7521C"/>
    <w:rsid w:val="00D752A6"/>
    <w:rsid w:val="00E2092E"/>
    <w:rsid w:val="00ED0224"/>
    <w:rsid w:val="00FC3E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Hyperlink"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DD5"/>
    <w:pPr>
      <w:spacing w:after="200" w:line="276" w:lineRule="auto"/>
    </w:pPr>
    <w:rPr>
      <w:rFonts w:ascii="Calibri" w:hAnsi="Calibri" w:cs="Calibri"/>
      <w:lang w:val="en-US" w:eastAsia="en-US"/>
    </w:rPr>
  </w:style>
  <w:style w:type="paragraph" w:styleId="Heading1">
    <w:name w:val="heading 1"/>
    <w:basedOn w:val="Normal"/>
    <w:next w:val="Normal"/>
    <w:link w:val="Heading1Char"/>
    <w:uiPriority w:val="99"/>
    <w:qFormat/>
    <w:rsid w:val="004D0DD5"/>
    <w:pPr>
      <w:keepNext/>
      <w:spacing w:after="0" w:line="240" w:lineRule="auto"/>
      <w:ind w:left="720"/>
      <w:jc w:val="center"/>
      <w:outlineLvl w:val="0"/>
    </w:pPr>
    <w:rPr>
      <w:rFonts w:ascii="Arial" w:hAnsi="Arial" w:cs="Arial"/>
      <w:noProof/>
      <w:sz w:val="28"/>
      <w:szCs w:val="28"/>
      <w:lang w:val="en-GB" w:eastAsia="en-GB"/>
    </w:rPr>
  </w:style>
  <w:style w:type="paragraph" w:styleId="Heading2">
    <w:name w:val="heading 2"/>
    <w:basedOn w:val="Normal"/>
    <w:next w:val="Normal"/>
    <w:link w:val="Heading2Char"/>
    <w:uiPriority w:val="9"/>
    <w:semiHidden/>
    <w:unhideWhenUsed/>
    <w:qFormat/>
    <w:rsid w:val="0082766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2766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521C"/>
    <w:rPr>
      <w:rFonts w:asciiTheme="majorHAnsi" w:eastAsiaTheme="majorEastAsia" w:hAnsiTheme="majorHAnsi" w:cstheme="majorBidi"/>
      <w:b/>
      <w:bCs/>
      <w:kern w:val="32"/>
      <w:sz w:val="32"/>
      <w:szCs w:val="32"/>
      <w:lang w:val="en-US" w:eastAsia="en-US"/>
    </w:rPr>
  </w:style>
  <w:style w:type="paragraph" w:styleId="Header">
    <w:name w:val="header"/>
    <w:basedOn w:val="Normal"/>
    <w:link w:val="HeaderChar"/>
    <w:rsid w:val="004D0D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0DD5"/>
    <w:rPr>
      <w:rFonts w:ascii="Times New Roman" w:hAnsi="Times New Roman" w:cs="Times New Roman"/>
    </w:rPr>
  </w:style>
  <w:style w:type="paragraph" w:styleId="Footer">
    <w:name w:val="footer"/>
    <w:basedOn w:val="Normal"/>
    <w:link w:val="FooterChar"/>
    <w:uiPriority w:val="99"/>
    <w:rsid w:val="004D0D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0DD5"/>
    <w:rPr>
      <w:rFonts w:ascii="Times New Roman" w:hAnsi="Times New Roman" w:cs="Times New Roman"/>
    </w:rPr>
  </w:style>
  <w:style w:type="paragraph" w:styleId="BalloonText">
    <w:name w:val="Balloon Text"/>
    <w:basedOn w:val="Normal"/>
    <w:link w:val="BalloonTextChar"/>
    <w:uiPriority w:val="99"/>
    <w:rsid w:val="004D0D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4D0DD5"/>
    <w:rPr>
      <w:rFonts w:ascii="Tahoma" w:hAnsi="Tahoma" w:cs="Tahoma"/>
      <w:sz w:val="16"/>
      <w:szCs w:val="16"/>
    </w:rPr>
  </w:style>
  <w:style w:type="paragraph" w:customStyle="1" w:styleId="owapara">
    <w:name w:val="owapara"/>
    <w:basedOn w:val="Normal"/>
    <w:uiPriority w:val="99"/>
    <w:rsid w:val="004D0DD5"/>
    <w:pPr>
      <w:spacing w:after="0" w:line="240" w:lineRule="auto"/>
    </w:pPr>
    <w:rPr>
      <w:sz w:val="24"/>
      <w:szCs w:val="24"/>
    </w:rPr>
  </w:style>
  <w:style w:type="paragraph" w:styleId="BodyText">
    <w:name w:val="Body Text"/>
    <w:basedOn w:val="Normal"/>
    <w:link w:val="BodyTextChar"/>
    <w:uiPriority w:val="99"/>
    <w:rsid w:val="004D0DD5"/>
    <w:pPr>
      <w:spacing w:after="0" w:line="240" w:lineRule="auto"/>
    </w:pPr>
    <w:rPr>
      <w:rFonts w:ascii="Arial" w:hAnsi="Arial" w:cs="Arial"/>
      <w:lang w:val="en-GB"/>
    </w:rPr>
  </w:style>
  <w:style w:type="character" w:customStyle="1" w:styleId="BodyTextChar">
    <w:name w:val="Body Text Char"/>
    <w:basedOn w:val="DefaultParagraphFont"/>
    <w:link w:val="BodyText"/>
    <w:uiPriority w:val="99"/>
    <w:rsid w:val="004D0DD5"/>
    <w:rPr>
      <w:rFonts w:ascii="Calibri" w:hAnsi="Calibri" w:cs="Calibri"/>
      <w:lang w:val="en-US" w:eastAsia="en-US"/>
    </w:rPr>
  </w:style>
  <w:style w:type="character" w:styleId="Hyperlink">
    <w:name w:val="Hyperlink"/>
    <w:basedOn w:val="DefaultParagraphFont"/>
    <w:uiPriority w:val="99"/>
    <w:rsid w:val="004D0DD5"/>
    <w:rPr>
      <w:rFonts w:ascii="Times New Roman" w:hAnsi="Times New Roman" w:cs="Times New Roman"/>
      <w:color w:val="0000FF"/>
      <w:u w:val="single"/>
    </w:rPr>
  </w:style>
  <w:style w:type="paragraph" w:styleId="BodyText2">
    <w:name w:val="Body Text 2"/>
    <w:basedOn w:val="Normal"/>
    <w:link w:val="BodyText2Char"/>
    <w:uiPriority w:val="99"/>
    <w:rsid w:val="004D0DD5"/>
    <w:pPr>
      <w:spacing w:after="120" w:line="480" w:lineRule="auto"/>
    </w:pPr>
  </w:style>
  <w:style w:type="character" w:customStyle="1" w:styleId="BodyText2Char">
    <w:name w:val="Body Text 2 Char"/>
    <w:basedOn w:val="DefaultParagraphFont"/>
    <w:link w:val="BodyText2"/>
    <w:uiPriority w:val="99"/>
    <w:rsid w:val="004D0DD5"/>
    <w:rPr>
      <w:rFonts w:ascii="Calibri" w:hAnsi="Calibri" w:cs="Calibri"/>
      <w:lang w:val="en-US" w:eastAsia="en-US"/>
    </w:rPr>
  </w:style>
  <w:style w:type="paragraph" w:customStyle="1" w:styleId="Default">
    <w:name w:val="Default"/>
    <w:rsid w:val="004D0DD5"/>
    <w:pPr>
      <w:autoSpaceDE w:val="0"/>
      <w:autoSpaceDN w:val="0"/>
      <w:adjustRightInd w:val="0"/>
    </w:pPr>
    <w:rPr>
      <w:rFonts w:ascii="Arial" w:hAnsi="Arial" w:cs="Arial"/>
      <w:color w:val="000000"/>
      <w:sz w:val="24"/>
      <w:szCs w:val="24"/>
    </w:rPr>
  </w:style>
  <w:style w:type="paragraph" w:styleId="NoSpacing">
    <w:name w:val="No Spacing"/>
    <w:qFormat/>
    <w:rsid w:val="004D0DD5"/>
    <w:rPr>
      <w:rFonts w:ascii="Calibri" w:hAnsi="Calibri" w:cs="Calibri"/>
      <w:lang w:eastAsia="en-US"/>
    </w:rPr>
  </w:style>
  <w:style w:type="paragraph" w:styleId="NormalWeb">
    <w:name w:val="Normal (Web)"/>
    <w:basedOn w:val="Normal"/>
    <w:uiPriority w:val="99"/>
    <w:rsid w:val="004D0DD5"/>
    <w:pPr>
      <w:spacing w:before="150" w:after="225" w:line="240" w:lineRule="auto"/>
    </w:pPr>
    <w:rPr>
      <w:rFonts w:cstheme="minorBidi"/>
      <w:sz w:val="24"/>
      <w:szCs w:val="24"/>
      <w:lang w:val="en-GB" w:eastAsia="en-GB"/>
    </w:rPr>
  </w:style>
  <w:style w:type="paragraph" w:styleId="ListParagraph">
    <w:name w:val="List Paragraph"/>
    <w:basedOn w:val="Normal"/>
    <w:uiPriority w:val="34"/>
    <w:qFormat/>
    <w:rsid w:val="00D752A6"/>
    <w:pPr>
      <w:spacing w:after="0" w:line="240" w:lineRule="auto"/>
      <w:ind w:left="720"/>
    </w:pPr>
    <w:rPr>
      <w:rFonts w:eastAsia="Times New Roman" w:cs="Times New Roman"/>
      <w:sz w:val="24"/>
      <w:szCs w:val="24"/>
      <w:lang w:val="en-GB" w:eastAsia="en-GB"/>
    </w:rPr>
  </w:style>
  <w:style w:type="character" w:customStyle="1" w:styleId="Heading2Char">
    <w:name w:val="Heading 2 Char"/>
    <w:basedOn w:val="DefaultParagraphFont"/>
    <w:link w:val="Heading2"/>
    <w:uiPriority w:val="9"/>
    <w:semiHidden/>
    <w:rsid w:val="0082766D"/>
    <w:rPr>
      <w:rFonts w:asciiTheme="majorHAnsi" w:eastAsiaTheme="majorEastAsia" w:hAnsiTheme="majorHAnsi" w:cstheme="majorBidi"/>
      <w:b/>
      <w:bCs/>
      <w:color w:val="4F81BD" w:themeColor="accent1"/>
      <w:sz w:val="26"/>
      <w:szCs w:val="26"/>
      <w:lang w:val="en-US" w:eastAsia="en-US"/>
    </w:rPr>
  </w:style>
  <w:style w:type="character" w:customStyle="1" w:styleId="Heading3Char">
    <w:name w:val="Heading 3 Char"/>
    <w:basedOn w:val="DefaultParagraphFont"/>
    <w:link w:val="Heading3"/>
    <w:uiPriority w:val="9"/>
    <w:semiHidden/>
    <w:rsid w:val="0082766D"/>
    <w:rPr>
      <w:rFonts w:asciiTheme="majorHAnsi" w:eastAsiaTheme="majorEastAsia" w:hAnsiTheme="majorHAnsi" w:cstheme="majorBidi"/>
      <w:b/>
      <w:bCs/>
      <w:color w:val="4F81BD" w:themeColor="accent1"/>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Hyperlink"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DD5"/>
    <w:pPr>
      <w:spacing w:after="200" w:line="276" w:lineRule="auto"/>
    </w:pPr>
    <w:rPr>
      <w:rFonts w:ascii="Calibri" w:hAnsi="Calibri" w:cs="Calibri"/>
      <w:lang w:val="en-US" w:eastAsia="en-US"/>
    </w:rPr>
  </w:style>
  <w:style w:type="paragraph" w:styleId="Heading1">
    <w:name w:val="heading 1"/>
    <w:basedOn w:val="Normal"/>
    <w:next w:val="Normal"/>
    <w:link w:val="Heading1Char"/>
    <w:uiPriority w:val="99"/>
    <w:qFormat/>
    <w:rsid w:val="004D0DD5"/>
    <w:pPr>
      <w:keepNext/>
      <w:spacing w:after="0" w:line="240" w:lineRule="auto"/>
      <w:ind w:left="720"/>
      <w:jc w:val="center"/>
      <w:outlineLvl w:val="0"/>
    </w:pPr>
    <w:rPr>
      <w:rFonts w:ascii="Arial" w:hAnsi="Arial" w:cs="Arial"/>
      <w:noProof/>
      <w:sz w:val="28"/>
      <w:szCs w:val="28"/>
      <w:lang w:val="en-GB" w:eastAsia="en-GB"/>
    </w:rPr>
  </w:style>
  <w:style w:type="paragraph" w:styleId="Heading2">
    <w:name w:val="heading 2"/>
    <w:basedOn w:val="Normal"/>
    <w:next w:val="Normal"/>
    <w:link w:val="Heading2Char"/>
    <w:uiPriority w:val="9"/>
    <w:semiHidden/>
    <w:unhideWhenUsed/>
    <w:qFormat/>
    <w:rsid w:val="0082766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2766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521C"/>
    <w:rPr>
      <w:rFonts w:asciiTheme="majorHAnsi" w:eastAsiaTheme="majorEastAsia" w:hAnsiTheme="majorHAnsi" w:cstheme="majorBidi"/>
      <w:b/>
      <w:bCs/>
      <w:kern w:val="32"/>
      <w:sz w:val="32"/>
      <w:szCs w:val="32"/>
      <w:lang w:val="en-US" w:eastAsia="en-US"/>
    </w:rPr>
  </w:style>
  <w:style w:type="paragraph" w:styleId="Header">
    <w:name w:val="header"/>
    <w:basedOn w:val="Normal"/>
    <w:link w:val="HeaderChar"/>
    <w:rsid w:val="004D0D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0DD5"/>
    <w:rPr>
      <w:rFonts w:ascii="Times New Roman" w:hAnsi="Times New Roman" w:cs="Times New Roman"/>
    </w:rPr>
  </w:style>
  <w:style w:type="paragraph" w:styleId="Footer">
    <w:name w:val="footer"/>
    <w:basedOn w:val="Normal"/>
    <w:link w:val="FooterChar"/>
    <w:uiPriority w:val="99"/>
    <w:rsid w:val="004D0D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0DD5"/>
    <w:rPr>
      <w:rFonts w:ascii="Times New Roman" w:hAnsi="Times New Roman" w:cs="Times New Roman"/>
    </w:rPr>
  </w:style>
  <w:style w:type="paragraph" w:styleId="BalloonText">
    <w:name w:val="Balloon Text"/>
    <w:basedOn w:val="Normal"/>
    <w:link w:val="BalloonTextChar"/>
    <w:uiPriority w:val="99"/>
    <w:rsid w:val="004D0D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4D0DD5"/>
    <w:rPr>
      <w:rFonts w:ascii="Tahoma" w:hAnsi="Tahoma" w:cs="Tahoma"/>
      <w:sz w:val="16"/>
      <w:szCs w:val="16"/>
    </w:rPr>
  </w:style>
  <w:style w:type="paragraph" w:customStyle="1" w:styleId="owapara">
    <w:name w:val="owapara"/>
    <w:basedOn w:val="Normal"/>
    <w:uiPriority w:val="99"/>
    <w:rsid w:val="004D0DD5"/>
    <w:pPr>
      <w:spacing w:after="0" w:line="240" w:lineRule="auto"/>
    </w:pPr>
    <w:rPr>
      <w:sz w:val="24"/>
      <w:szCs w:val="24"/>
    </w:rPr>
  </w:style>
  <w:style w:type="paragraph" w:styleId="BodyText">
    <w:name w:val="Body Text"/>
    <w:basedOn w:val="Normal"/>
    <w:link w:val="BodyTextChar"/>
    <w:uiPriority w:val="99"/>
    <w:rsid w:val="004D0DD5"/>
    <w:pPr>
      <w:spacing w:after="0" w:line="240" w:lineRule="auto"/>
    </w:pPr>
    <w:rPr>
      <w:rFonts w:ascii="Arial" w:hAnsi="Arial" w:cs="Arial"/>
      <w:lang w:val="en-GB"/>
    </w:rPr>
  </w:style>
  <w:style w:type="character" w:customStyle="1" w:styleId="BodyTextChar">
    <w:name w:val="Body Text Char"/>
    <w:basedOn w:val="DefaultParagraphFont"/>
    <w:link w:val="BodyText"/>
    <w:uiPriority w:val="99"/>
    <w:rsid w:val="004D0DD5"/>
    <w:rPr>
      <w:rFonts w:ascii="Calibri" w:hAnsi="Calibri" w:cs="Calibri"/>
      <w:lang w:val="en-US" w:eastAsia="en-US"/>
    </w:rPr>
  </w:style>
  <w:style w:type="character" w:styleId="Hyperlink">
    <w:name w:val="Hyperlink"/>
    <w:basedOn w:val="DefaultParagraphFont"/>
    <w:uiPriority w:val="99"/>
    <w:rsid w:val="004D0DD5"/>
    <w:rPr>
      <w:rFonts w:ascii="Times New Roman" w:hAnsi="Times New Roman" w:cs="Times New Roman"/>
      <w:color w:val="0000FF"/>
      <w:u w:val="single"/>
    </w:rPr>
  </w:style>
  <w:style w:type="paragraph" w:styleId="BodyText2">
    <w:name w:val="Body Text 2"/>
    <w:basedOn w:val="Normal"/>
    <w:link w:val="BodyText2Char"/>
    <w:uiPriority w:val="99"/>
    <w:rsid w:val="004D0DD5"/>
    <w:pPr>
      <w:spacing w:after="120" w:line="480" w:lineRule="auto"/>
    </w:pPr>
  </w:style>
  <w:style w:type="character" w:customStyle="1" w:styleId="BodyText2Char">
    <w:name w:val="Body Text 2 Char"/>
    <w:basedOn w:val="DefaultParagraphFont"/>
    <w:link w:val="BodyText2"/>
    <w:uiPriority w:val="99"/>
    <w:rsid w:val="004D0DD5"/>
    <w:rPr>
      <w:rFonts w:ascii="Calibri" w:hAnsi="Calibri" w:cs="Calibri"/>
      <w:lang w:val="en-US" w:eastAsia="en-US"/>
    </w:rPr>
  </w:style>
  <w:style w:type="paragraph" w:customStyle="1" w:styleId="Default">
    <w:name w:val="Default"/>
    <w:rsid w:val="004D0DD5"/>
    <w:pPr>
      <w:autoSpaceDE w:val="0"/>
      <w:autoSpaceDN w:val="0"/>
      <w:adjustRightInd w:val="0"/>
    </w:pPr>
    <w:rPr>
      <w:rFonts w:ascii="Arial" w:hAnsi="Arial" w:cs="Arial"/>
      <w:color w:val="000000"/>
      <w:sz w:val="24"/>
      <w:szCs w:val="24"/>
    </w:rPr>
  </w:style>
  <w:style w:type="paragraph" w:styleId="NoSpacing">
    <w:name w:val="No Spacing"/>
    <w:qFormat/>
    <w:rsid w:val="004D0DD5"/>
    <w:rPr>
      <w:rFonts w:ascii="Calibri" w:hAnsi="Calibri" w:cs="Calibri"/>
      <w:lang w:eastAsia="en-US"/>
    </w:rPr>
  </w:style>
  <w:style w:type="paragraph" w:styleId="NormalWeb">
    <w:name w:val="Normal (Web)"/>
    <w:basedOn w:val="Normal"/>
    <w:uiPriority w:val="99"/>
    <w:rsid w:val="004D0DD5"/>
    <w:pPr>
      <w:spacing w:before="150" w:after="225" w:line="240" w:lineRule="auto"/>
    </w:pPr>
    <w:rPr>
      <w:rFonts w:cstheme="minorBidi"/>
      <w:sz w:val="24"/>
      <w:szCs w:val="24"/>
      <w:lang w:val="en-GB" w:eastAsia="en-GB"/>
    </w:rPr>
  </w:style>
  <w:style w:type="paragraph" w:styleId="ListParagraph">
    <w:name w:val="List Paragraph"/>
    <w:basedOn w:val="Normal"/>
    <w:uiPriority w:val="34"/>
    <w:qFormat/>
    <w:rsid w:val="00D752A6"/>
    <w:pPr>
      <w:spacing w:after="0" w:line="240" w:lineRule="auto"/>
      <w:ind w:left="720"/>
    </w:pPr>
    <w:rPr>
      <w:rFonts w:eastAsia="Times New Roman" w:cs="Times New Roman"/>
      <w:sz w:val="24"/>
      <w:szCs w:val="24"/>
      <w:lang w:val="en-GB" w:eastAsia="en-GB"/>
    </w:rPr>
  </w:style>
  <w:style w:type="character" w:customStyle="1" w:styleId="Heading2Char">
    <w:name w:val="Heading 2 Char"/>
    <w:basedOn w:val="DefaultParagraphFont"/>
    <w:link w:val="Heading2"/>
    <w:uiPriority w:val="9"/>
    <w:semiHidden/>
    <w:rsid w:val="0082766D"/>
    <w:rPr>
      <w:rFonts w:asciiTheme="majorHAnsi" w:eastAsiaTheme="majorEastAsia" w:hAnsiTheme="majorHAnsi" w:cstheme="majorBidi"/>
      <w:b/>
      <w:bCs/>
      <w:color w:val="4F81BD" w:themeColor="accent1"/>
      <w:sz w:val="26"/>
      <w:szCs w:val="26"/>
      <w:lang w:val="en-US" w:eastAsia="en-US"/>
    </w:rPr>
  </w:style>
  <w:style w:type="character" w:customStyle="1" w:styleId="Heading3Char">
    <w:name w:val="Heading 3 Char"/>
    <w:basedOn w:val="DefaultParagraphFont"/>
    <w:link w:val="Heading3"/>
    <w:uiPriority w:val="9"/>
    <w:semiHidden/>
    <w:rsid w:val="0082766D"/>
    <w:rPr>
      <w:rFonts w:asciiTheme="majorHAnsi" w:eastAsiaTheme="majorEastAsia" w:hAnsiTheme="majorHAnsi" w:cstheme="majorBidi"/>
      <w:b/>
      <w:bCs/>
      <w:color w:val="4F81BD" w:themeColor="accent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1861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750</Words>
  <Characters>4035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Newry, Mourne and Down District Council Section 75 Policy Screening Report</vt:lpstr>
    </vt:vector>
  </TitlesOfParts>
  <Company>NDBC</Company>
  <LinksUpToDate>false</LinksUpToDate>
  <CharactersWithSpaces>4776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Newry, Mourne and Down District Council Section 75 Policy Screening Report</dc:title>
  <dc:creator>Philip Moffett</dc:creator>
  <cp:lastModifiedBy>Moffett, Colin</cp:lastModifiedBy>
  <cp:revision>2</cp:revision>
  <cp:lastPrinted>2015-10-07T07:31:00Z</cp:lastPrinted>
  <dcterms:created xsi:type="dcterms:W3CDTF">2017-08-03T10:37:00Z</dcterms:created>
  <dcterms:modified xsi:type="dcterms:W3CDTF">2017-08-03T10:37:00Z</dcterms:modified>
</cp:coreProperties>
</file>