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D6" w:rsidRDefault="0046308D" w:rsidP="00715AFE">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 </w:t>
      </w:r>
      <w:r w:rsidR="0035025A">
        <w:rPr>
          <w:rFonts w:ascii="Arial" w:hAnsi="Arial" w:cs="Arial"/>
          <w:b/>
          <w:bCs/>
          <w:sz w:val="28"/>
          <w:szCs w:val="28"/>
        </w:rPr>
        <w:t xml:space="preserve"> </w:t>
      </w:r>
      <w:r w:rsidR="006311D6">
        <w:rPr>
          <w:rFonts w:ascii="Arial" w:hAnsi="Arial" w:cs="Arial"/>
          <w:b/>
          <w:bCs/>
          <w:noProof/>
          <w:sz w:val="28"/>
          <w:szCs w:val="28"/>
          <w:lang w:eastAsia="en-GB"/>
        </w:rPr>
        <w:drawing>
          <wp:inline distT="0" distB="0" distL="0" distR="0">
            <wp:extent cx="5581650"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5581650" cy="3238500"/>
                    </a:xfrm>
                    <a:prstGeom prst="rect">
                      <a:avLst/>
                    </a:prstGeom>
                  </pic:spPr>
                </pic:pic>
              </a:graphicData>
            </a:graphic>
          </wp:inline>
        </w:drawing>
      </w:r>
    </w:p>
    <w:p w:rsidR="006311D6" w:rsidRDefault="006311D6" w:rsidP="00715AFE">
      <w:pPr>
        <w:autoSpaceDE w:val="0"/>
        <w:autoSpaceDN w:val="0"/>
        <w:adjustRightInd w:val="0"/>
        <w:spacing w:after="0" w:line="240" w:lineRule="auto"/>
        <w:rPr>
          <w:rFonts w:ascii="Arial" w:hAnsi="Arial" w:cs="Arial"/>
          <w:b/>
          <w:bCs/>
          <w:sz w:val="28"/>
          <w:szCs w:val="28"/>
        </w:rPr>
      </w:pPr>
    </w:p>
    <w:p w:rsidR="00715AFE" w:rsidRPr="003A54AA" w:rsidRDefault="00923C76" w:rsidP="00715AFE">
      <w:pPr>
        <w:autoSpaceDE w:val="0"/>
        <w:autoSpaceDN w:val="0"/>
        <w:adjustRightInd w:val="0"/>
        <w:spacing w:after="0" w:line="240" w:lineRule="auto"/>
        <w:rPr>
          <w:rFonts w:ascii="Tahoma" w:hAnsi="Tahoma" w:cs="Tahoma"/>
          <w:b/>
          <w:sz w:val="36"/>
          <w:szCs w:val="36"/>
        </w:rPr>
      </w:pPr>
      <w:r w:rsidRPr="003A54AA">
        <w:rPr>
          <w:rFonts w:ascii="Tahoma" w:hAnsi="Tahoma" w:cs="Tahoma"/>
          <w:b/>
          <w:sz w:val="36"/>
          <w:szCs w:val="36"/>
        </w:rPr>
        <w:t>Local Development Plan</w:t>
      </w:r>
    </w:p>
    <w:p w:rsidR="00923C76" w:rsidRPr="003A54AA" w:rsidRDefault="00923C76" w:rsidP="00715AFE">
      <w:pPr>
        <w:autoSpaceDE w:val="0"/>
        <w:autoSpaceDN w:val="0"/>
        <w:adjustRightInd w:val="0"/>
        <w:spacing w:after="0" w:line="240" w:lineRule="auto"/>
        <w:rPr>
          <w:rFonts w:ascii="Tahoma" w:hAnsi="Tahoma" w:cs="Tahoma"/>
          <w:b/>
          <w:sz w:val="36"/>
          <w:szCs w:val="36"/>
        </w:rPr>
      </w:pPr>
      <w:r w:rsidRPr="003A54AA">
        <w:rPr>
          <w:rFonts w:ascii="Tahoma" w:hAnsi="Tahoma" w:cs="Tahoma"/>
          <w:b/>
          <w:sz w:val="36"/>
          <w:szCs w:val="36"/>
        </w:rPr>
        <w:t>Preparatory Studies</w:t>
      </w:r>
    </w:p>
    <w:p w:rsidR="00923C76" w:rsidRPr="003A54AA" w:rsidRDefault="00923C76" w:rsidP="00715AFE">
      <w:pPr>
        <w:autoSpaceDE w:val="0"/>
        <w:autoSpaceDN w:val="0"/>
        <w:adjustRightInd w:val="0"/>
        <w:spacing w:after="0" w:line="240" w:lineRule="auto"/>
        <w:rPr>
          <w:rFonts w:ascii="Tahoma" w:hAnsi="Tahoma" w:cs="Tahoma"/>
          <w:sz w:val="36"/>
          <w:szCs w:val="36"/>
        </w:rPr>
      </w:pPr>
    </w:p>
    <w:p w:rsidR="00715AFE" w:rsidRDefault="00923C76" w:rsidP="00715AFE">
      <w:pPr>
        <w:autoSpaceDE w:val="0"/>
        <w:autoSpaceDN w:val="0"/>
        <w:adjustRightInd w:val="0"/>
        <w:spacing w:after="0" w:line="240" w:lineRule="auto"/>
        <w:rPr>
          <w:rFonts w:ascii="Tahoma" w:hAnsi="Tahoma" w:cs="Tahoma"/>
          <w:b/>
          <w:bCs/>
          <w:sz w:val="36"/>
          <w:szCs w:val="36"/>
        </w:rPr>
      </w:pPr>
      <w:r w:rsidRPr="003A54AA">
        <w:rPr>
          <w:rFonts w:ascii="Tahoma" w:hAnsi="Tahoma" w:cs="Tahoma"/>
          <w:b/>
          <w:bCs/>
          <w:sz w:val="36"/>
          <w:szCs w:val="36"/>
        </w:rPr>
        <w:t xml:space="preserve">Paper 3: </w:t>
      </w:r>
      <w:r w:rsidR="00715AFE" w:rsidRPr="003A54AA">
        <w:rPr>
          <w:rFonts w:ascii="Tahoma" w:hAnsi="Tahoma" w:cs="Tahoma"/>
          <w:b/>
          <w:bCs/>
          <w:sz w:val="36"/>
          <w:szCs w:val="36"/>
        </w:rPr>
        <w:t>Employment and Economic Development</w:t>
      </w:r>
    </w:p>
    <w:p w:rsidR="00A156FC" w:rsidRPr="003A54AA" w:rsidRDefault="00A156FC" w:rsidP="00715AFE">
      <w:pPr>
        <w:autoSpaceDE w:val="0"/>
        <w:autoSpaceDN w:val="0"/>
        <w:adjustRightInd w:val="0"/>
        <w:spacing w:after="0" w:line="240" w:lineRule="auto"/>
        <w:rPr>
          <w:rFonts w:ascii="Tahoma" w:hAnsi="Tahoma" w:cs="Tahoma"/>
          <w:b/>
          <w:bCs/>
          <w:sz w:val="36"/>
          <w:szCs w:val="36"/>
        </w:rPr>
      </w:pPr>
    </w:p>
    <w:p w:rsidR="00715AFE" w:rsidRPr="00075B3B" w:rsidRDefault="003A54AA" w:rsidP="00715AFE">
      <w:pPr>
        <w:rPr>
          <w:rFonts w:ascii="Arial" w:hAnsi="Arial" w:cs="Arial"/>
          <w:b/>
          <w:sz w:val="36"/>
          <w:szCs w:val="36"/>
        </w:rPr>
      </w:pPr>
      <w:proofErr w:type="gramStart"/>
      <w:r>
        <w:rPr>
          <w:rFonts w:ascii="Tahoma" w:hAnsi="Tahoma" w:cs="Tahoma"/>
          <w:b/>
          <w:sz w:val="36"/>
          <w:szCs w:val="36"/>
        </w:rPr>
        <w:t>October</w:t>
      </w:r>
      <w:r w:rsidR="00075B3B" w:rsidRPr="003A54AA">
        <w:rPr>
          <w:rFonts w:ascii="Tahoma" w:hAnsi="Tahoma" w:cs="Tahoma"/>
          <w:b/>
          <w:sz w:val="36"/>
          <w:szCs w:val="36"/>
        </w:rPr>
        <w:t xml:space="preserve"> </w:t>
      </w:r>
      <w:r w:rsidR="000F346A" w:rsidRPr="003A54AA">
        <w:rPr>
          <w:rFonts w:ascii="Tahoma" w:hAnsi="Tahoma" w:cs="Tahoma"/>
          <w:b/>
          <w:sz w:val="36"/>
          <w:szCs w:val="36"/>
        </w:rPr>
        <w:t xml:space="preserve"> </w:t>
      </w:r>
      <w:r w:rsidR="00715AFE" w:rsidRPr="003A54AA">
        <w:rPr>
          <w:rFonts w:ascii="Tahoma" w:hAnsi="Tahoma" w:cs="Tahoma"/>
          <w:b/>
          <w:sz w:val="36"/>
          <w:szCs w:val="36"/>
        </w:rPr>
        <w:t>2015</w:t>
      </w:r>
      <w:proofErr w:type="gramEnd"/>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0F346A" w:rsidRDefault="000F346A" w:rsidP="00715AFE">
      <w:pPr>
        <w:autoSpaceDE w:val="0"/>
        <w:autoSpaceDN w:val="0"/>
        <w:adjustRightInd w:val="0"/>
        <w:spacing w:after="0" w:line="240" w:lineRule="auto"/>
        <w:rPr>
          <w:rFonts w:ascii="Arial" w:hAnsi="Arial" w:cs="Arial"/>
          <w:b/>
          <w:bCs/>
          <w:sz w:val="24"/>
          <w:szCs w:val="24"/>
        </w:rPr>
      </w:pPr>
    </w:p>
    <w:p w:rsidR="00F451A7" w:rsidRPr="00504D8F" w:rsidRDefault="00517CD4" w:rsidP="00715AFE">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CONTENTS</w:t>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32241A" w:rsidRPr="00504D8F">
        <w:rPr>
          <w:rFonts w:ascii="Tahoma" w:hAnsi="Tahoma" w:cs="Tahoma"/>
          <w:b/>
          <w:bCs/>
          <w:sz w:val="24"/>
          <w:szCs w:val="24"/>
        </w:rPr>
        <w:tab/>
      </w:r>
      <w:r w:rsidR="005C496C" w:rsidRPr="00504D8F">
        <w:rPr>
          <w:rFonts w:ascii="Tahoma" w:hAnsi="Tahoma" w:cs="Tahoma"/>
          <w:b/>
          <w:bCs/>
          <w:sz w:val="24"/>
          <w:szCs w:val="24"/>
        </w:rPr>
        <w:t xml:space="preserve">      </w:t>
      </w:r>
      <w:r w:rsidR="005E60AF" w:rsidRPr="00504D8F">
        <w:rPr>
          <w:rFonts w:ascii="Tahoma" w:hAnsi="Tahoma" w:cs="Tahoma"/>
          <w:b/>
          <w:bCs/>
          <w:sz w:val="24"/>
          <w:szCs w:val="24"/>
        </w:rPr>
        <w:t>PAGE</w:t>
      </w:r>
    </w:p>
    <w:p w:rsidR="00517CD4" w:rsidRPr="00504D8F" w:rsidRDefault="00517CD4" w:rsidP="00715AFE">
      <w:pPr>
        <w:autoSpaceDE w:val="0"/>
        <w:autoSpaceDN w:val="0"/>
        <w:adjustRightInd w:val="0"/>
        <w:spacing w:after="0" w:line="240" w:lineRule="auto"/>
        <w:rPr>
          <w:rFonts w:ascii="Tahoma" w:hAnsi="Tahoma" w:cs="Tahoma"/>
          <w:b/>
          <w:bCs/>
          <w:sz w:val="24"/>
          <w:szCs w:val="24"/>
        </w:rPr>
      </w:pPr>
    </w:p>
    <w:p w:rsidR="00517CD4" w:rsidRPr="00504D8F" w:rsidRDefault="00517CD4" w:rsidP="00715AFE">
      <w:pPr>
        <w:autoSpaceDE w:val="0"/>
        <w:autoSpaceDN w:val="0"/>
        <w:adjustRightInd w:val="0"/>
        <w:spacing w:after="0" w:line="240" w:lineRule="auto"/>
        <w:rPr>
          <w:rFonts w:ascii="Tahoma" w:hAnsi="Tahoma" w:cs="Tahoma"/>
          <w:bCs/>
          <w:sz w:val="24"/>
          <w:szCs w:val="24"/>
        </w:rPr>
      </w:pPr>
      <w:r w:rsidRPr="00504D8F">
        <w:rPr>
          <w:rFonts w:ascii="Tahoma" w:hAnsi="Tahoma" w:cs="Tahoma"/>
          <w:b/>
          <w:bCs/>
          <w:sz w:val="24"/>
          <w:szCs w:val="24"/>
        </w:rPr>
        <w:t xml:space="preserve">Purpose </w:t>
      </w:r>
      <w:r w:rsidR="0032241A" w:rsidRPr="00504D8F">
        <w:rPr>
          <w:rFonts w:ascii="Tahoma" w:hAnsi="Tahoma" w:cs="Tahoma"/>
          <w:b/>
          <w:bCs/>
          <w:sz w:val="24"/>
          <w:szCs w:val="24"/>
        </w:rPr>
        <w:t>………………………………………………………………………………</w:t>
      </w:r>
      <w:r w:rsidR="005C496C" w:rsidRPr="00504D8F">
        <w:rPr>
          <w:rFonts w:ascii="Tahoma" w:hAnsi="Tahoma" w:cs="Tahoma"/>
          <w:b/>
          <w:bCs/>
          <w:sz w:val="24"/>
          <w:szCs w:val="24"/>
        </w:rPr>
        <w:t>…</w:t>
      </w:r>
      <w:r w:rsidR="00EA2713">
        <w:rPr>
          <w:rFonts w:ascii="Tahoma" w:hAnsi="Tahoma" w:cs="Tahoma"/>
          <w:b/>
          <w:bCs/>
          <w:sz w:val="24"/>
          <w:szCs w:val="24"/>
        </w:rPr>
        <w:t>..</w:t>
      </w:r>
      <w:r w:rsidR="00923C76" w:rsidRPr="00504D8F">
        <w:rPr>
          <w:rFonts w:ascii="Tahoma" w:hAnsi="Tahoma" w:cs="Tahoma"/>
          <w:bCs/>
          <w:sz w:val="24"/>
          <w:szCs w:val="24"/>
        </w:rPr>
        <w:t>3</w:t>
      </w:r>
    </w:p>
    <w:p w:rsidR="0032241A" w:rsidRPr="00504D8F" w:rsidRDefault="0032241A" w:rsidP="00715AFE">
      <w:pPr>
        <w:autoSpaceDE w:val="0"/>
        <w:autoSpaceDN w:val="0"/>
        <w:adjustRightInd w:val="0"/>
        <w:spacing w:after="0" w:line="240" w:lineRule="auto"/>
        <w:rPr>
          <w:rFonts w:ascii="Tahoma" w:hAnsi="Tahoma" w:cs="Tahoma"/>
          <w:b/>
          <w:bCs/>
          <w:sz w:val="24"/>
          <w:szCs w:val="24"/>
        </w:rPr>
      </w:pPr>
    </w:p>
    <w:p w:rsidR="00517CD4" w:rsidRPr="00504D8F" w:rsidRDefault="00517CD4" w:rsidP="00715AFE">
      <w:pPr>
        <w:autoSpaceDE w:val="0"/>
        <w:autoSpaceDN w:val="0"/>
        <w:adjustRightInd w:val="0"/>
        <w:spacing w:after="0" w:line="240" w:lineRule="auto"/>
        <w:rPr>
          <w:rFonts w:ascii="Tahoma" w:hAnsi="Tahoma" w:cs="Tahoma"/>
          <w:bCs/>
          <w:sz w:val="24"/>
          <w:szCs w:val="24"/>
        </w:rPr>
      </w:pPr>
      <w:r w:rsidRPr="00504D8F">
        <w:rPr>
          <w:rFonts w:ascii="Tahoma" w:hAnsi="Tahoma" w:cs="Tahoma"/>
          <w:b/>
          <w:bCs/>
          <w:sz w:val="24"/>
          <w:szCs w:val="24"/>
        </w:rPr>
        <w:t>Content Overview</w:t>
      </w:r>
      <w:r w:rsidR="00EA2713">
        <w:rPr>
          <w:rFonts w:ascii="Tahoma" w:hAnsi="Tahoma" w:cs="Tahoma"/>
          <w:b/>
          <w:bCs/>
          <w:sz w:val="24"/>
          <w:szCs w:val="24"/>
        </w:rPr>
        <w:t>………………………………………………………………………</w:t>
      </w:r>
      <w:r w:rsidR="005E60AF" w:rsidRPr="00504D8F">
        <w:rPr>
          <w:rFonts w:ascii="Tahoma" w:hAnsi="Tahoma" w:cs="Tahoma"/>
          <w:bCs/>
          <w:sz w:val="24"/>
          <w:szCs w:val="24"/>
        </w:rPr>
        <w:t>3</w:t>
      </w:r>
    </w:p>
    <w:p w:rsidR="00517CD4" w:rsidRPr="00504D8F" w:rsidRDefault="00517CD4" w:rsidP="00715AFE">
      <w:pPr>
        <w:autoSpaceDE w:val="0"/>
        <w:autoSpaceDN w:val="0"/>
        <w:adjustRightInd w:val="0"/>
        <w:spacing w:after="0" w:line="240" w:lineRule="auto"/>
        <w:rPr>
          <w:rFonts w:ascii="Tahoma" w:hAnsi="Tahoma" w:cs="Tahoma"/>
          <w:b/>
          <w:bCs/>
          <w:sz w:val="24"/>
          <w:szCs w:val="24"/>
        </w:rPr>
      </w:pPr>
    </w:p>
    <w:p w:rsidR="00517CD4" w:rsidRPr="00504D8F" w:rsidRDefault="00517CD4" w:rsidP="00517CD4">
      <w:pPr>
        <w:pStyle w:val="ListParagraph"/>
        <w:numPr>
          <w:ilvl w:val="0"/>
          <w:numId w:val="13"/>
        </w:numPr>
        <w:autoSpaceDE w:val="0"/>
        <w:autoSpaceDN w:val="0"/>
        <w:adjustRightInd w:val="0"/>
        <w:spacing w:after="0" w:line="240" w:lineRule="auto"/>
        <w:rPr>
          <w:rFonts w:ascii="Tahoma" w:hAnsi="Tahoma" w:cs="Tahoma"/>
          <w:bCs/>
          <w:sz w:val="24"/>
          <w:szCs w:val="24"/>
        </w:rPr>
      </w:pPr>
      <w:r w:rsidRPr="00504D8F">
        <w:rPr>
          <w:rFonts w:ascii="Tahoma" w:hAnsi="Tahoma" w:cs="Tahoma"/>
          <w:b/>
          <w:bCs/>
          <w:sz w:val="24"/>
          <w:szCs w:val="24"/>
        </w:rPr>
        <w:t>Introduction</w:t>
      </w:r>
      <w:r w:rsidR="005E60AF" w:rsidRPr="00504D8F">
        <w:rPr>
          <w:rFonts w:ascii="Tahoma" w:hAnsi="Tahoma" w:cs="Tahoma"/>
          <w:b/>
          <w:bCs/>
          <w:sz w:val="24"/>
          <w:szCs w:val="24"/>
        </w:rPr>
        <w:t>………………………………………</w:t>
      </w:r>
      <w:r w:rsidR="00EA2713">
        <w:rPr>
          <w:rFonts w:ascii="Tahoma" w:hAnsi="Tahoma" w:cs="Tahoma"/>
          <w:b/>
          <w:bCs/>
          <w:sz w:val="24"/>
          <w:szCs w:val="24"/>
        </w:rPr>
        <w:t>.</w:t>
      </w:r>
      <w:r w:rsidR="005E60AF" w:rsidRPr="00504D8F">
        <w:rPr>
          <w:rFonts w:ascii="Tahoma" w:hAnsi="Tahoma" w:cs="Tahoma"/>
          <w:b/>
          <w:bCs/>
          <w:sz w:val="24"/>
          <w:szCs w:val="24"/>
        </w:rPr>
        <w:t>…………………</w:t>
      </w:r>
      <w:r w:rsidR="009B2E98" w:rsidRPr="00504D8F">
        <w:rPr>
          <w:rFonts w:ascii="Tahoma" w:hAnsi="Tahoma" w:cs="Tahoma"/>
          <w:b/>
          <w:bCs/>
          <w:sz w:val="24"/>
          <w:szCs w:val="24"/>
        </w:rPr>
        <w:t>.</w:t>
      </w:r>
      <w:r w:rsidR="005C496C" w:rsidRPr="00504D8F">
        <w:rPr>
          <w:rFonts w:ascii="Tahoma" w:hAnsi="Tahoma" w:cs="Tahoma"/>
          <w:b/>
          <w:bCs/>
          <w:sz w:val="24"/>
          <w:szCs w:val="24"/>
        </w:rPr>
        <w:t>…………</w:t>
      </w:r>
      <w:r w:rsidR="005C496C" w:rsidRPr="00504D8F">
        <w:rPr>
          <w:rFonts w:ascii="Tahoma" w:hAnsi="Tahoma" w:cs="Tahoma"/>
          <w:b/>
          <w:bCs/>
          <w:sz w:val="24"/>
          <w:szCs w:val="24"/>
        </w:rPr>
        <w:tab/>
      </w:r>
      <w:r w:rsidR="005E60AF" w:rsidRPr="00504D8F">
        <w:rPr>
          <w:rFonts w:ascii="Tahoma" w:hAnsi="Tahoma" w:cs="Tahoma"/>
          <w:bCs/>
          <w:sz w:val="24"/>
          <w:szCs w:val="24"/>
        </w:rPr>
        <w:t>4</w:t>
      </w:r>
    </w:p>
    <w:p w:rsidR="00517CD4" w:rsidRPr="00504D8F" w:rsidRDefault="00517CD4" w:rsidP="00517CD4">
      <w:pPr>
        <w:autoSpaceDE w:val="0"/>
        <w:autoSpaceDN w:val="0"/>
        <w:adjustRightInd w:val="0"/>
        <w:spacing w:after="0" w:line="240" w:lineRule="auto"/>
        <w:rPr>
          <w:rFonts w:ascii="Tahoma" w:hAnsi="Tahoma" w:cs="Tahoma"/>
          <w:b/>
          <w:bCs/>
          <w:sz w:val="24"/>
          <w:szCs w:val="24"/>
        </w:rPr>
      </w:pPr>
    </w:p>
    <w:p w:rsidR="00517CD4" w:rsidRPr="00504D8F" w:rsidRDefault="00517CD4" w:rsidP="00517CD4">
      <w:pPr>
        <w:pStyle w:val="ListParagraph"/>
        <w:numPr>
          <w:ilvl w:val="0"/>
          <w:numId w:val="13"/>
        </w:numPr>
        <w:autoSpaceDE w:val="0"/>
        <w:autoSpaceDN w:val="0"/>
        <w:adjustRightInd w:val="0"/>
        <w:spacing w:after="0" w:line="240" w:lineRule="auto"/>
        <w:rPr>
          <w:rFonts w:ascii="Tahoma" w:hAnsi="Tahoma" w:cs="Tahoma"/>
          <w:bCs/>
          <w:sz w:val="24"/>
          <w:szCs w:val="24"/>
        </w:rPr>
      </w:pPr>
      <w:r w:rsidRPr="00504D8F">
        <w:rPr>
          <w:rFonts w:ascii="Tahoma" w:hAnsi="Tahoma" w:cs="Tahoma"/>
          <w:b/>
          <w:bCs/>
          <w:sz w:val="24"/>
          <w:szCs w:val="24"/>
        </w:rPr>
        <w:t xml:space="preserve">Regional </w:t>
      </w:r>
      <w:r w:rsidR="0058141B" w:rsidRPr="00504D8F">
        <w:rPr>
          <w:rFonts w:ascii="Tahoma" w:hAnsi="Tahoma" w:cs="Tahoma"/>
          <w:b/>
          <w:bCs/>
          <w:sz w:val="24"/>
          <w:szCs w:val="24"/>
        </w:rPr>
        <w:t xml:space="preserve">and Local </w:t>
      </w:r>
      <w:r w:rsidRPr="00504D8F">
        <w:rPr>
          <w:rFonts w:ascii="Tahoma" w:hAnsi="Tahoma" w:cs="Tahoma"/>
          <w:b/>
          <w:bCs/>
          <w:sz w:val="24"/>
          <w:szCs w:val="24"/>
        </w:rPr>
        <w:t>Policy Context</w:t>
      </w:r>
      <w:r w:rsidR="005C496C" w:rsidRPr="00504D8F">
        <w:rPr>
          <w:rFonts w:ascii="Tahoma" w:hAnsi="Tahoma" w:cs="Tahoma"/>
          <w:b/>
          <w:bCs/>
          <w:sz w:val="24"/>
          <w:szCs w:val="24"/>
        </w:rPr>
        <w:t>………………………………………</w:t>
      </w:r>
      <w:r w:rsidR="00EA2713">
        <w:rPr>
          <w:rFonts w:ascii="Tahoma" w:hAnsi="Tahoma" w:cs="Tahoma"/>
          <w:b/>
          <w:bCs/>
          <w:sz w:val="24"/>
          <w:szCs w:val="24"/>
        </w:rPr>
        <w:t>…</w:t>
      </w:r>
      <w:r w:rsidR="008A318D" w:rsidRPr="00504D8F">
        <w:rPr>
          <w:rFonts w:ascii="Tahoma" w:hAnsi="Tahoma" w:cs="Tahoma"/>
          <w:bCs/>
          <w:sz w:val="24"/>
          <w:szCs w:val="24"/>
        </w:rPr>
        <w:t>4</w:t>
      </w:r>
    </w:p>
    <w:p w:rsidR="00517CD4" w:rsidRPr="00504D8F" w:rsidRDefault="00517CD4" w:rsidP="00517CD4">
      <w:pPr>
        <w:pStyle w:val="ListParagraph"/>
        <w:rPr>
          <w:rFonts w:ascii="Tahoma" w:hAnsi="Tahoma" w:cs="Tahoma"/>
          <w:b/>
          <w:bCs/>
          <w:sz w:val="24"/>
          <w:szCs w:val="24"/>
        </w:rPr>
      </w:pPr>
    </w:p>
    <w:p w:rsidR="00517CD4" w:rsidRPr="00504D8F" w:rsidRDefault="00517CD4" w:rsidP="00AC65CB">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A Socio-Economic Profile of N</w:t>
      </w:r>
      <w:r w:rsidR="00003A04" w:rsidRPr="00504D8F">
        <w:rPr>
          <w:rFonts w:ascii="Tahoma" w:hAnsi="Tahoma" w:cs="Tahoma"/>
          <w:b/>
          <w:bCs/>
          <w:sz w:val="24"/>
          <w:szCs w:val="24"/>
        </w:rPr>
        <w:t>ewry</w:t>
      </w:r>
      <w:r w:rsidR="00B87FE5" w:rsidRPr="00504D8F">
        <w:rPr>
          <w:rFonts w:ascii="Tahoma" w:hAnsi="Tahoma" w:cs="Tahoma"/>
          <w:b/>
          <w:bCs/>
          <w:sz w:val="24"/>
          <w:szCs w:val="24"/>
        </w:rPr>
        <w:t>,</w:t>
      </w:r>
      <w:r w:rsidR="00003A04" w:rsidRPr="00504D8F">
        <w:rPr>
          <w:rFonts w:ascii="Tahoma" w:hAnsi="Tahoma" w:cs="Tahoma"/>
          <w:b/>
          <w:bCs/>
          <w:sz w:val="24"/>
          <w:szCs w:val="24"/>
        </w:rPr>
        <w:t xml:space="preserve"> </w:t>
      </w:r>
      <w:proofErr w:type="spellStart"/>
      <w:r w:rsidRPr="00504D8F">
        <w:rPr>
          <w:rFonts w:ascii="Tahoma" w:hAnsi="Tahoma" w:cs="Tahoma"/>
          <w:b/>
          <w:bCs/>
          <w:sz w:val="24"/>
          <w:szCs w:val="24"/>
        </w:rPr>
        <w:t>M</w:t>
      </w:r>
      <w:r w:rsidR="00003A04" w:rsidRPr="00504D8F">
        <w:rPr>
          <w:rFonts w:ascii="Tahoma" w:hAnsi="Tahoma" w:cs="Tahoma"/>
          <w:b/>
          <w:bCs/>
          <w:sz w:val="24"/>
          <w:szCs w:val="24"/>
        </w:rPr>
        <w:t>ourne</w:t>
      </w:r>
      <w:proofErr w:type="spellEnd"/>
      <w:r w:rsidR="00003A04" w:rsidRPr="00504D8F">
        <w:rPr>
          <w:rFonts w:ascii="Tahoma" w:hAnsi="Tahoma" w:cs="Tahoma"/>
          <w:b/>
          <w:bCs/>
          <w:sz w:val="24"/>
          <w:szCs w:val="24"/>
        </w:rPr>
        <w:t xml:space="preserve"> and</w:t>
      </w:r>
      <w:r w:rsidR="00B87FE5" w:rsidRPr="00504D8F">
        <w:rPr>
          <w:rFonts w:ascii="Tahoma" w:hAnsi="Tahoma" w:cs="Tahoma"/>
          <w:b/>
          <w:bCs/>
          <w:sz w:val="24"/>
          <w:szCs w:val="24"/>
        </w:rPr>
        <w:t xml:space="preserve"> Down.</w:t>
      </w:r>
      <w:r w:rsidR="005C496C" w:rsidRPr="00504D8F">
        <w:rPr>
          <w:rFonts w:ascii="Tahoma" w:hAnsi="Tahoma" w:cs="Tahoma"/>
          <w:b/>
          <w:bCs/>
          <w:sz w:val="24"/>
          <w:szCs w:val="24"/>
        </w:rPr>
        <w:t>………</w:t>
      </w:r>
      <w:r w:rsidR="0058141B" w:rsidRPr="00504D8F">
        <w:rPr>
          <w:rFonts w:ascii="Tahoma" w:hAnsi="Tahoma" w:cs="Tahoma"/>
          <w:b/>
          <w:bCs/>
          <w:sz w:val="24"/>
          <w:szCs w:val="24"/>
        </w:rPr>
        <w:t>……</w:t>
      </w:r>
      <w:r w:rsidR="00C4706C">
        <w:rPr>
          <w:rFonts w:ascii="Tahoma" w:hAnsi="Tahoma" w:cs="Tahoma"/>
          <w:b/>
          <w:bCs/>
          <w:sz w:val="24"/>
          <w:szCs w:val="24"/>
        </w:rPr>
        <w:t>.</w:t>
      </w:r>
      <w:r w:rsidR="005C496C" w:rsidRPr="00504D8F">
        <w:rPr>
          <w:rFonts w:ascii="Tahoma" w:hAnsi="Tahoma" w:cs="Tahoma"/>
          <w:b/>
          <w:bCs/>
          <w:sz w:val="24"/>
          <w:szCs w:val="24"/>
        </w:rPr>
        <w:tab/>
      </w:r>
      <w:r w:rsidR="00C4706C">
        <w:rPr>
          <w:rFonts w:ascii="Tahoma" w:hAnsi="Tahoma" w:cs="Tahoma"/>
          <w:bCs/>
          <w:sz w:val="24"/>
          <w:szCs w:val="24"/>
        </w:rPr>
        <w:t>9</w:t>
      </w:r>
    </w:p>
    <w:p w:rsidR="00AC65CB" w:rsidRPr="00504D8F" w:rsidRDefault="00AC65CB" w:rsidP="00AC65CB">
      <w:pPr>
        <w:autoSpaceDE w:val="0"/>
        <w:autoSpaceDN w:val="0"/>
        <w:adjustRightInd w:val="0"/>
        <w:spacing w:after="0" w:line="240" w:lineRule="auto"/>
        <w:rPr>
          <w:rFonts w:ascii="Tahoma" w:hAnsi="Tahoma" w:cs="Tahoma"/>
          <w:b/>
          <w:bCs/>
          <w:sz w:val="24"/>
          <w:szCs w:val="24"/>
        </w:rPr>
      </w:pPr>
    </w:p>
    <w:p w:rsidR="00AC65CB" w:rsidRPr="00504D8F" w:rsidRDefault="00517CD4"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 xml:space="preserve">Tourism </w:t>
      </w:r>
      <w:r w:rsidR="00AF1A80" w:rsidRPr="00504D8F">
        <w:rPr>
          <w:rFonts w:ascii="Tahoma" w:hAnsi="Tahoma" w:cs="Tahoma"/>
          <w:b/>
          <w:bCs/>
          <w:sz w:val="24"/>
          <w:szCs w:val="24"/>
        </w:rPr>
        <w:t>Development ……….</w:t>
      </w:r>
      <w:r w:rsidR="005C496C" w:rsidRPr="00504D8F">
        <w:rPr>
          <w:rFonts w:ascii="Tahoma" w:hAnsi="Tahoma" w:cs="Tahoma"/>
          <w:b/>
          <w:bCs/>
          <w:sz w:val="24"/>
          <w:szCs w:val="24"/>
        </w:rPr>
        <w:t>………………………………………………</w:t>
      </w:r>
      <w:r w:rsidR="005C496C" w:rsidRPr="00504D8F">
        <w:rPr>
          <w:rFonts w:ascii="Tahoma" w:hAnsi="Tahoma" w:cs="Tahoma"/>
          <w:b/>
          <w:bCs/>
          <w:sz w:val="24"/>
          <w:szCs w:val="24"/>
        </w:rPr>
        <w:tab/>
      </w:r>
      <w:r w:rsidR="0058141B" w:rsidRPr="00504D8F">
        <w:rPr>
          <w:rFonts w:ascii="Tahoma" w:hAnsi="Tahoma" w:cs="Tahoma"/>
          <w:bCs/>
          <w:sz w:val="24"/>
          <w:szCs w:val="24"/>
        </w:rPr>
        <w:t>21</w:t>
      </w:r>
    </w:p>
    <w:p w:rsidR="00E3485A" w:rsidRPr="00504D8F" w:rsidRDefault="00E3485A" w:rsidP="00E3485A">
      <w:pPr>
        <w:pStyle w:val="ListParagraph"/>
        <w:rPr>
          <w:rFonts w:ascii="Tahoma" w:hAnsi="Tahoma" w:cs="Tahoma"/>
          <w:b/>
          <w:bCs/>
          <w:sz w:val="24"/>
          <w:szCs w:val="24"/>
        </w:rPr>
      </w:pPr>
    </w:p>
    <w:p w:rsidR="00E3485A" w:rsidRPr="00504D8F" w:rsidRDefault="001F14FF"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 xml:space="preserve">Harbour </w:t>
      </w:r>
      <w:r w:rsidR="00C4706C">
        <w:rPr>
          <w:rFonts w:ascii="Tahoma" w:hAnsi="Tahoma" w:cs="Tahoma"/>
          <w:b/>
          <w:bCs/>
          <w:sz w:val="24"/>
          <w:szCs w:val="24"/>
        </w:rPr>
        <w:t xml:space="preserve">Development and Associated Infrastructure </w:t>
      </w:r>
      <w:r w:rsidR="00E3485A" w:rsidRPr="00504D8F">
        <w:rPr>
          <w:rFonts w:ascii="Tahoma" w:hAnsi="Tahoma" w:cs="Tahoma"/>
          <w:b/>
          <w:bCs/>
          <w:sz w:val="24"/>
          <w:szCs w:val="24"/>
        </w:rPr>
        <w:t>…………...</w:t>
      </w:r>
      <w:r w:rsidR="00C4706C">
        <w:rPr>
          <w:rFonts w:ascii="Tahoma" w:hAnsi="Tahoma" w:cs="Tahoma"/>
          <w:b/>
          <w:bCs/>
          <w:sz w:val="24"/>
          <w:szCs w:val="24"/>
        </w:rPr>
        <w:t>....</w:t>
      </w:r>
      <w:r w:rsidR="00C4706C">
        <w:rPr>
          <w:rFonts w:ascii="Tahoma" w:hAnsi="Tahoma" w:cs="Tahoma"/>
          <w:bCs/>
          <w:sz w:val="24"/>
          <w:szCs w:val="24"/>
        </w:rPr>
        <w:t>23</w:t>
      </w:r>
    </w:p>
    <w:p w:rsidR="001F14FF" w:rsidRPr="00504D8F" w:rsidRDefault="001F14FF" w:rsidP="001F14FF">
      <w:pPr>
        <w:autoSpaceDE w:val="0"/>
        <w:autoSpaceDN w:val="0"/>
        <w:adjustRightInd w:val="0"/>
        <w:spacing w:after="0" w:line="240" w:lineRule="auto"/>
        <w:rPr>
          <w:rFonts w:ascii="Tahoma" w:hAnsi="Tahoma" w:cs="Tahoma"/>
          <w:b/>
          <w:bCs/>
          <w:sz w:val="24"/>
          <w:szCs w:val="24"/>
        </w:rPr>
      </w:pPr>
    </w:p>
    <w:p w:rsidR="000822F3" w:rsidRPr="00504D8F" w:rsidRDefault="00C37958" w:rsidP="00AC65CB">
      <w:pPr>
        <w:pStyle w:val="ListParagraph"/>
        <w:numPr>
          <w:ilvl w:val="0"/>
          <w:numId w:val="13"/>
        </w:numPr>
        <w:rPr>
          <w:rFonts w:ascii="Tahoma" w:hAnsi="Tahoma" w:cs="Tahoma"/>
          <w:b/>
          <w:bCs/>
          <w:sz w:val="24"/>
          <w:szCs w:val="24"/>
        </w:rPr>
      </w:pPr>
      <w:r>
        <w:rPr>
          <w:rFonts w:ascii="Tahoma" w:hAnsi="Tahoma" w:cs="Tahoma"/>
          <w:b/>
          <w:bCs/>
          <w:sz w:val="24"/>
          <w:szCs w:val="24"/>
        </w:rPr>
        <w:t>Existing Development</w:t>
      </w:r>
      <w:r w:rsidR="00AC65CB" w:rsidRPr="00504D8F">
        <w:rPr>
          <w:rFonts w:ascii="Tahoma" w:hAnsi="Tahoma" w:cs="Tahoma"/>
          <w:b/>
          <w:bCs/>
          <w:sz w:val="24"/>
          <w:szCs w:val="24"/>
        </w:rPr>
        <w:t xml:space="preserve"> Plans and Land Uptake…</w:t>
      </w:r>
      <w:r>
        <w:rPr>
          <w:rFonts w:ascii="Tahoma" w:hAnsi="Tahoma" w:cs="Tahoma"/>
          <w:b/>
          <w:bCs/>
          <w:sz w:val="24"/>
          <w:szCs w:val="24"/>
        </w:rPr>
        <w:t>…</w:t>
      </w:r>
      <w:r w:rsidR="00AC65CB" w:rsidRPr="00504D8F">
        <w:rPr>
          <w:rFonts w:ascii="Tahoma" w:hAnsi="Tahoma" w:cs="Tahoma"/>
          <w:b/>
          <w:bCs/>
          <w:sz w:val="24"/>
          <w:szCs w:val="24"/>
        </w:rPr>
        <w:t>…………………</w:t>
      </w:r>
      <w:r>
        <w:rPr>
          <w:rFonts w:ascii="Tahoma" w:hAnsi="Tahoma" w:cs="Tahoma"/>
          <w:b/>
          <w:bCs/>
          <w:sz w:val="24"/>
          <w:szCs w:val="24"/>
        </w:rPr>
        <w:t>….</w:t>
      </w:r>
      <w:r w:rsidR="00C4706C">
        <w:rPr>
          <w:rFonts w:ascii="Tahoma" w:hAnsi="Tahoma" w:cs="Tahoma"/>
          <w:bCs/>
          <w:sz w:val="24"/>
          <w:szCs w:val="24"/>
        </w:rPr>
        <w:t>25</w:t>
      </w:r>
    </w:p>
    <w:p w:rsidR="000822F3" w:rsidRPr="00504D8F" w:rsidRDefault="000822F3" w:rsidP="000822F3">
      <w:pPr>
        <w:pStyle w:val="ListParagraph"/>
        <w:rPr>
          <w:rFonts w:ascii="Tahoma" w:hAnsi="Tahoma" w:cs="Tahoma"/>
          <w:b/>
          <w:bCs/>
          <w:sz w:val="24"/>
          <w:szCs w:val="24"/>
        </w:rPr>
      </w:pPr>
    </w:p>
    <w:p w:rsidR="000822F3" w:rsidRPr="00504D8F" w:rsidRDefault="000822F3"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 xml:space="preserve">The Need for </w:t>
      </w:r>
      <w:r w:rsidR="00003A04" w:rsidRPr="00504D8F">
        <w:rPr>
          <w:rFonts w:ascii="Tahoma" w:hAnsi="Tahoma" w:cs="Tahoma"/>
          <w:b/>
          <w:bCs/>
          <w:sz w:val="24"/>
          <w:szCs w:val="24"/>
        </w:rPr>
        <w:t>F</w:t>
      </w:r>
      <w:r w:rsidRPr="00504D8F">
        <w:rPr>
          <w:rFonts w:ascii="Tahoma" w:hAnsi="Tahoma" w:cs="Tahoma"/>
          <w:b/>
          <w:bCs/>
          <w:sz w:val="24"/>
          <w:szCs w:val="24"/>
        </w:rPr>
        <w:t xml:space="preserve">uture </w:t>
      </w:r>
      <w:r w:rsidR="00003A04" w:rsidRPr="00504D8F">
        <w:rPr>
          <w:rFonts w:ascii="Tahoma" w:hAnsi="Tahoma" w:cs="Tahoma"/>
          <w:b/>
          <w:bCs/>
          <w:sz w:val="24"/>
          <w:szCs w:val="24"/>
        </w:rPr>
        <w:t>E</w:t>
      </w:r>
      <w:r w:rsidRPr="00504D8F">
        <w:rPr>
          <w:rFonts w:ascii="Tahoma" w:hAnsi="Tahoma" w:cs="Tahoma"/>
          <w:b/>
          <w:bCs/>
          <w:sz w:val="24"/>
          <w:szCs w:val="24"/>
        </w:rPr>
        <w:t>mployment Opportunities…………………</w:t>
      </w:r>
      <w:r w:rsidR="00B87FE5" w:rsidRPr="00504D8F">
        <w:rPr>
          <w:rFonts w:ascii="Tahoma" w:hAnsi="Tahoma" w:cs="Tahoma"/>
          <w:b/>
          <w:bCs/>
          <w:sz w:val="24"/>
          <w:szCs w:val="24"/>
        </w:rPr>
        <w:t>..</w:t>
      </w:r>
      <w:r w:rsidR="00C4706C">
        <w:rPr>
          <w:rFonts w:ascii="Tahoma" w:hAnsi="Tahoma" w:cs="Tahoma"/>
          <w:b/>
          <w:bCs/>
          <w:sz w:val="24"/>
          <w:szCs w:val="24"/>
        </w:rPr>
        <w:t>.....</w:t>
      </w:r>
      <w:r w:rsidR="000F12F1" w:rsidRPr="000F12F1">
        <w:rPr>
          <w:rFonts w:ascii="Tahoma" w:hAnsi="Tahoma" w:cs="Tahoma"/>
          <w:bCs/>
          <w:sz w:val="24"/>
          <w:szCs w:val="24"/>
        </w:rPr>
        <w:t>31</w:t>
      </w:r>
    </w:p>
    <w:p w:rsidR="00D947F7" w:rsidRPr="00504D8F" w:rsidRDefault="00D947F7" w:rsidP="00D947F7">
      <w:pPr>
        <w:pStyle w:val="ListParagraph"/>
        <w:rPr>
          <w:rFonts w:ascii="Tahoma" w:hAnsi="Tahoma" w:cs="Tahoma"/>
          <w:b/>
          <w:bCs/>
          <w:sz w:val="24"/>
          <w:szCs w:val="24"/>
        </w:rPr>
      </w:pPr>
    </w:p>
    <w:p w:rsidR="00D947F7" w:rsidRPr="00504D8F" w:rsidRDefault="00D947F7"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Allocating Economic Development Land………………………………</w:t>
      </w:r>
      <w:r w:rsidR="00C4706C">
        <w:rPr>
          <w:rFonts w:ascii="Tahoma" w:hAnsi="Tahoma" w:cs="Tahoma"/>
          <w:b/>
          <w:bCs/>
          <w:sz w:val="24"/>
          <w:szCs w:val="24"/>
        </w:rPr>
        <w:t>….</w:t>
      </w:r>
      <w:r w:rsidR="00633464" w:rsidRPr="00504D8F">
        <w:rPr>
          <w:rFonts w:ascii="Tahoma" w:hAnsi="Tahoma" w:cs="Tahoma"/>
          <w:bCs/>
          <w:sz w:val="24"/>
          <w:szCs w:val="24"/>
        </w:rPr>
        <w:t>3</w:t>
      </w:r>
      <w:r w:rsidR="004F63A1">
        <w:rPr>
          <w:rFonts w:ascii="Tahoma" w:hAnsi="Tahoma" w:cs="Tahoma"/>
          <w:bCs/>
          <w:sz w:val="24"/>
          <w:szCs w:val="24"/>
        </w:rPr>
        <w:t>6</w:t>
      </w:r>
    </w:p>
    <w:p w:rsidR="000822F3" w:rsidRPr="00504D8F" w:rsidRDefault="000822F3" w:rsidP="000822F3">
      <w:pPr>
        <w:pStyle w:val="ListParagraph"/>
        <w:rPr>
          <w:rFonts w:ascii="Tahoma" w:hAnsi="Tahoma" w:cs="Tahoma"/>
          <w:b/>
          <w:bCs/>
          <w:sz w:val="24"/>
          <w:szCs w:val="24"/>
        </w:rPr>
      </w:pPr>
    </w:p>
    <w:p w:rsidR="000822F3" w:rsidRPr="00504D8F" w:rsidRDefault="000822F3"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Locations of Individual Zonings…………………………………………</w:t>
      </w:r>
      <w:r w:rsidR="00C4706C">
        <w:rPr>
          <w:rFonts w:ascii="Tahoma" w:hAnsi="Tahoma" w:cs="Tahoma"/>
          <w:b/>
          <w:bCs/>
          <w:sz w:val="24"/>
          <w:szCs w:val="24"/>
        </w:rPr>
        <w:t>….</w:t>
      </w:r>
      <w:r w:rsidR="00C4706C">
        <w:rPr>
          <w:rFonts w:ascii="Tahoma" w:hAnsi="Tahoma" w:cs="Tahoma"/>
          <w:bCs/>
          <w:sz w:val="24"/>
          <w:szCs w:val="24"/>
        </w:rPr>
        <w:t>38</w:t>
      </w:r>
    </w:p>
    <w:p w:rsidR="000822F3" w:rsidRPr="00504D8F" w:rsidRDefault="000822F3" w:rsidP="005C496C">
      <w:pPr>
        <w:pStyle w:val="ListParagraph"/>
        <w:ind w:left="1440"/>
        <w:rPr>
          <w:rFonts w:ascii="Tahoma" w:hAnsi="Tahoma" w:cs="Tahoma"/>
          <w:b/>
          <w:bCs/>
          <w:sz w:val="24"/>
          <w:szCs w:val="24"/>
        </w:rPr>
      </w:pPr>
    </w:p>
    <w:p w:rsidR="00517CD4" w:rsidRPr="00504D8F" w:rsidRDefault="000822F3" w:rsidP="00517CD4">
      <w:pPr>
        <w:pStyle w:val="ListParagraph"/>
        <w:numPr>
          <w:ilvl w:val="0"/>
          <w:numId w:val="13"/>
        </w:num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Conclusions and Key Findings……………………………………………</w:t>
      </w:r>
      <w:r w:rsidR="00C4706C">
        <w:rPr>
          <w:rFonts w:ascii="Tahoma" w:hAnsi="Tahoma" w:cs="Tahoma"/>
          <w:b/>
          <w:bCs/>
          <w:sz w:val="24"/>
          <w:szCs w:val="24"/>
        </w:rPr>
        <w:t>….</w:t>
      </w:r>
      <w:r w:rsidR="00C4706C">
        <w:rPr>
          <w:rFonts w:ascii="Tahoma" w:hAnsi="Tahoma" w:cs="Tahoma"/>
          <w:bCs/>
          <w:sz w:val="24"/>
          <w:szCs w:val="24"/>
        </w:rPr>
        <w:t>39</w:t>
      </w:r>
    </w:p>
    <w:p w:rsidR="00F451A7" w:rsidRPr="00504D8F" w:rsidRDefault="00F451A7" w:rsidP="00715AFE">
      <w:pPr>
        <w:autoSpaceDE w:val="0"/>
        <w:autoSpaceDN w:val="0"/>
        <w:adjustRightInd w:val="0"/>
        <w:spacing w:after="0" w:line="240" w:lineRule="auto"/>
        <w:rPr>
          <w:rFonts w:ascii="Tahoma" w:hAnsi="Tahoma" w:cs="Tahoma"/>
          <w:b/>
          <w:bCs/>
          <w:sz w:val="24"/>
          <w:szCs w:val="24"/>
        </w:rPr>
      </w:pPr>
    </w:p>
    <w:p w:rsidR="00F451A7" w:rsidRPr="00504D8F" w:rsidRDefault="00F451A7" w:rsidP="00715AFE">
      <w:pPr>
        <w:autoSpaceDE w:val="0"/>
        <w:autoSpaceDN w:val="0"/>
        <w:adjustRightInd w:val="0"/>
        <w:spacing w:after="0" w:line="240" w:lineRule="auto"/>
        <w:rPr>
          <w:rFonts w:ascii="Tahoma" w:hAnsi="Tahoma" w:cs="Tahoma"/>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517CD4" w:rsidRDefault="00517CD4"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0822F3" w:rsidRDefault="000822F3" w:rsidP="00715AFE">
      <w:pPr>
        <w:autoSpaceDE w:val="0"/>
        <w:autoSpaceDN w:val="0"/>
        <w:adjustRightInd w:val="0"/>
        <w:spacing w:after="0" w:line="240" w:lineRule="auto"/>
        <w:rPr>
          <w:rFonts w:ascii="Arial" w:hAnsi="Arial" w:cs="Arial"/>
          <w:b/>
          <w:bCs/>
          <w:sz w:val="24"/>
          <w:szCs w:val="24"/>
        </w:rPr>
      </w:pPr>
    </w:p>
    <w:p w:rsidR="00517CD4" w:rsidRPr="00285912" w:rsidRDefault="00517CD4" w:rsidP="00715AFE">
      <w:pPr>
        <w:autoSpaceDE w:val="0"/>
        <w:autoSpaceDN w:val="0"/>
        <w:adjustRightInd w:val="0"/>
        <w:spacing w:after="0" w:line="240" w:lineRule="auto"/>
        <w:rPr>
          <w:rFonts w:ascii="Tahoma" w:hAnsi="Tahoma" w:cs="Tahoma"/>
          <w:b/>
          <w:bCs/>
          <w:sz w:val="24"/>
          <w:szCs w:val="24"/>
        </w:rPr>
      </w:pPr>
      <w:r w:rsidRPr="00285912">
        <w:rPr>
          <w:rFonts w:ascii="Tahoma" w:hAnsi="Tahoma" w:cs="Tahoma"/>
          <w:b/>
          <w:bCs/>
          <w:sz w:val="24"/>
          <w:szCs w:val="24"/>
        </w:rPr>
        <w:t>APPENDICES</w:t>
      </w:r>
    </w:p>
    <w:p w:rsidR="00517CD4" w:rsidRPr="00285912" w:rsidRDefault="00517CD4" w:rsidP="00715AFE">
      <w:pPr>
        <w:autoSpaceDE w:val="0"/>
        <w:autoSpaceDN w:val="0"/>
        <w:adjustRightInd w:val="0"/>
        <w:spacing w:after="0" w:line="240" w:lineRule="auto"/>
        <w:rPr>
          <w:rFonts w:ascii="Tahoma" w:hAnsi="Tahoma" w:cs="Tahoma"/>
          <w:b/>
          <w:bCs/>
          <w:sz w:val="24"/>
          <w:szCs w:val="24"/>
        </w:rPr>
      </w:pPr>
    </w:p>
    <w:p w:rsidR="00517CD4" w:rsidRPr="00285912" w:rsidRDefault="00EA2713" w:rsidP="00715AFE">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 xml:space="preserve">Appendix A: </w:t>
      </w:r>
      <w:r w:rsidR="00517CD4" w:rsidRPr="00285912">
        <w:rPr>
          <w:rFonts w:ascii="Tahoma" w:hAnsi="Tahoma" w:cs="Tahoma"/>
          <w:bCs/>
          <w:sz w:val="24"/>
          <w:szCs w:val="24"/>
        </w:rPr>
        <w:t>Employment Land Evaluation Framework (RDS 2035)</w:t>
      </w:r>
    </w:p>
    <w:p w:rsidR="00517CD4" w:rsidRPr="00285912" w:rsidRDefault="00517CD4" w:rsidP="00715AFE">
      <w:pPr>
        <w:autoSpaceDE w:val="0"/>
        <w:autoSpaceDN w:val="0"/>
        <w:adjustRightInd w:val="0"/>
        <w:spacing w:after="0" w:line="240" w:lineRule="auto"/>
        <w:rPr>
          <w:rFonts w:ascii="Tahoma" w:hAnsi="Tahoma" w:cs="Tahoma"/>
          <w:bCs/>
          <w:sz w:val="24"/>
          <w:szCs w:val="24"/>
        </w:rPr>
      </w:pPr>
      <w:r w:rsidRPr="00285912">
        <w:rPr>
          <w:rFonts w:ascii="Tahoma" w:hAnsi="Tahoma" w:cs="Tahoma"/>
          <w:bCs/>
          <w:sz w:val="24"/>
          <w:szCs w:val="24"/>
        </w:rPr>
        <w:t xml:space="preserve">Appendix B: Newry &amp; </w:t>
      </w:r>
      <w:proofErr w:type="spellStart"/>
      <w:r w:rsidRPr="00285912">
        <w:rPr>
          <w:rFonts w:ascii="Tahoma" w:hAnsi="Tahoma" w:cs="Tahoma"/>
          <w:bCs/>
          <w:sz w:val="24"/>
          <w:szCs w:val="24"/>
        </w:rPr>
        <w:t>Mourne</w:t>
      </w:r>
      <w:proofErr w:type="spellEnd"/>
      <w:r w:rsidRPr="00285912">
        <w:rPr>
          <w:rFonts w:ascii="Tahoma" w:hAnsi="Tahoma" w:cs="Tahoma"/>
          <w:bCs/>
          <w:sz w:val="24"/>
          <w:szCs w:val="24"/>
        </w:rPr>
        <w:t xml:space="preserve"> </w:t>
      </w:r>
      <w:r w:rsidR="0034055B">
        <w:rPr>
          <w:rFonts w:ascii="Tahoma" w:hAnsi="Tahoma" w:cs="Tahoma"/>
          <w:bCs/>
          <w:sz w:val="24"/>
          <w:szCs w:val="24"/>
        </w:rPr>
        <w:t xml:space="preserve">District </w:t>
      </w:r>
      <w:r w:rsidRPr="00285912">
        <w:rPr>
          <w:rFonts w:ascii="Tahoma" w:hAnsi="Tahoma" w:cs="Tahoma"/>
          <w:bCs/>
          <w:sz w:val="24"/>
          <w:szCs w:val="24"/>
        </w:rPr>
        <w:t>Zoned Industrial Land</w:t>
      </w:r>
    </w:p>
    <w:p w:rsidR="00517CD4" w:rsidRPr="00285912" w:rsidRDefault="00517CD4" w:rsidP="00715AFE">
      <w:pPr>
        <w:autoSpaceDE w:val="0"/>
        <w:autoSpaceDN w:val="0"/>
        <w:adjustRightInd w:val="0"/>
        <w:spacing w:after="0" w:line="240" w:lineRule="auto"/>
        <w:rPr>
          <w:rFonts w:ascii="Tahoma" w:hAnsi="Tahoma" w:cs="Tahoma"/>
          <w:bCs/>
          <w:sz w:val="24"/>
          <w:szCs w:val="24"/>
        </w:rPr>
      </w:pPr>
      <w:r w:rsidRPr="00285912">
        <w:rPr>
          <w:rFonts w:ascii="Tahoma" w:hAnsi="Tahoma" w:cs="Tahoma"/>
          <w:bCs/>
          <w:sz w:val="24"/>
          <w:szCs w:val="24"/>
        </w:rPr>
        <w:t xml:space="preserve">Appendix C: Newry &amp; </w:t>
      </w:r>
      <w:proofErr w:type="spellStart"/>
      <w:r w:rsidRPr="00285912">
        <w:rPr>
          <w:rFonts w:ascii="Tahoma" w:hAnsi="Tahoma" w:cs="Tahoma"/>
          <w:bCs/>
          <w:sz w:val="24"/>
          <w:szCs w:val="24"/>
        </w:rPr>
        <w:t>Mourne</w:t>
      </w:r>
      <w:proofErr w:type="spellEnd"/>
      <w:r w:rsidRPr="00285912">
        <w:rPr>
          <w:rFonts w:ascii="Tahoma" w:hAnsi="Tahoma" w:cs="Tahoma"/>
          <w:bCs/>
          <w:sz w:val="24"/>
          <w:szCs w:val="24"/>
        </w:rPr>
        <w:t xml:space="preserve"> </w:t>
      </w:r>
      <w:r w:rsidR="0034055B">
        <w:rPr>
          <w:rFonts w:ascii="Tahoma" w:hAnsi="Tahoma" w:cs="Tahoma"/>
          <w:bCs/>
          <w:sz w:val="24"/>
          <w:szCs w:val="24"/>
        </w:rPr>
        <w:t xml:space="preserve">District </w:t>
      </w:r>
      <w:r w:rsidRPr="00285912">
        <w:rPr>
          <w:rFonts w:ascii="Tahoma" w:hAnsi="Tahoma" w:cs="Tahoma"/>
          <w:bCs/>
          <w:sz w:val="24"/>
          <w:szCs w:val="24"/>
        </w:rPr>
        <w:t>Zoned Mixed Use Land</w:t>
      </w:r>
    </w:p>
    <w:p w:rsidR="00894209" w:rsidRDefault="00894209" w:rsidP="00715AFE">
      <w:pPr>
        <w:autoSpaceDE w:val="0"/>
        <w:autoSpaceDN w:val="0"/>
        <w:adjustRightInd w:val="0"/>
        <w:spacing w:after="0" w:line="240" w:lineRule="auto"/>
        <w:rPr>
          <w:rFonts w:ascii="Tahoma" w:hAnsi="Tahoma" w:cs="Tahoma"/>
          <w:bCs/>
          <w:sz w:val="24"/>
          <w:szCs w:val="24"/>
        </w:rPr>
      </w:pPr>
      <w:r w:rsidRPr="00285912">
        <w:rPr>
          <w:rFonts w:ascii="Tahoma" w:hAnsi="Tahoma" w:cs="Tahoma"/>
          <w:bCs/>
          <w:sz w:val="24"/>
          <w:szCs w:val="24"/>
        </w:rPr>
        <w:t xml:space="preserve">Appendix D: Down </w:t>
      </w:r>
      <w:r w:rsidR="0034055B">
        <w:rPr>
          <w:rFonts w:ascii="Tahoma" w:hAnsi="Tahoma" w:cs="Tahoma"/>
          <w:bCs/>
          <w:sz w:val="24"/>
          <w:szCs w:val="24"/>
        </w:rPr>
        <w:t xml:space="preserve">District </w:t>
      </w:r>
      <w:r w:rsidRPr="00285912">
        <w:rPr>
          <w:rFonts w:ascii="Tahoma" w:hAnsi="Tahoma" w:cs="Tahoma"/>
          <w:bCs/>
          <w:sz w:val="24"/>
          <w:szCs w:val="24"/>
        </w:rPr>
        <w:t>Zoned Industrial Land</w:t>
      </w:r>
    </w:p>
    <w:p w:rsidR="008352E1" w:rsidRPr="00285912" w:rsidRDefault="008352E1" w:rsidP="00715AFE">
      <w:pPr>
        <w:autoSpaceDE w:val="0"/>
        <w:autoSpaceDN w:val="0"/>
        <w:adjustRightInd w:val="0"/>
        <w:spacing w:after="0" w:line="240" w:lineRule="auto"/>
        <w:rPr>
          <w:rFonts w:ascii="Tahoma" w:hAnsi="Tahoma" w:cs="Tahoma"/>
          <w:bCs/>
          <w:sz w:val="24"/>
          <w:szCs w:val="24"/>
        </w:rPr>
      </w:pPr>
      <w:r w:rsidRPr="008352E1">
        <w:rPr>
          <w:rFonts w:ascii="Tahoma" w:hAnsi="Tahoma" w:cs="Tahoma"/>
          <w:bCs/>
          <w:sz w:val="24"/>
          <w:szCs w:val="24"/>
        </w:rPr>
        <w:t>Append</w:t>
      </w:r>
      <w:r>
        <w:rPr>
          <w:rFonts w:ascii="Tahoma" w:hAnsi="Tahoma" w:cs="Tahoma"/>
          <w:bCs/>
          <w:sz w:val="24"/>
          <w:szCs w:val="24"/>
        </w:rPr>
        <w:t xml:space="preserve">ix E: Down </w:t>
      </w:r>
      <w:r w:rsidR="0034055B">
        <w:rPr>
          <w:rFonts w:ascii="Tahoma" w:hAnsi="Tahoma" w:cs="Tahoma"/>
          <w:bCs/>
          <w:sz w:val="24"/>
          <w:szCs w:val="24"/>
        </w:rPr>
        <w:t xml:space="preserve">District </w:t>
      </w:r>
      <w:r>
        <w:rPr>
          <w:rFonts w:ascii="Tahoma" w:hAnsi="Tahoma" w:cs="Tahoma"/>
          <w:bCs/>
          <w:sz w:val="24"/>
          <w:szCs w:val="24"/>
        </w:rPr>
        <w:t>Industrial Policy Areas</w:t>
      </w:r>
    </w:p>
    <w:p w:rsidR="00517CD4" w:rsidRPr="00285912" w:rsidRDefault="008352E1" w:rsidP="00715AFE">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Appendix F</w:t>
      </w:r>
      <w:r w:rsidR="00517CD4" w:rsidRPr="00285912">
        <w:rPr>
          <w:rFonts w:ascii="Tahoma" w:hAnsi="Tahoma" w:cs="Tahoma"/>
          <w:bCs/>
          <w:sz w:val="24"/>
          <w:szCs w:val="24"/>
        </w:rPr>
        <w:t>: Definitions of Employment Sectors</w:t>
      </w:r>
    </w:p>
    <w:p w:rsidR="00517CD4" w:rsidRDefault="00517CD4"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E3485A" w:rsidRDefault="00E3485A" w:rsidP="00715AFE">
      <w:pPr>
        <w:autoSpaceDE w:val="0"/>
        <w:autoSpaceDN w:val="0"/>
        <w:adjustRightInd w:val="0"/>
        <w:spacing w:after="0" w:line="240" w:lineRule="auto"/>
        <w:rPr>
          <w:rFonts w:ascii="Arial" w:hAnsi="Arial" w:cs="Arial"/>
          <w:b/>
          <w:bCs/>
          <w:sz w:val="24"/>
          <w:szCs w:val="24"/>
        </w:rPr>
      </w:pPr>
    </w:p>
    <w:p w:rsidR="00F451A7" w:rsidRDefault="00F451A7" w:rsidP="00715AFE">
      <w:pPr>
        <w:autoSpaceDE w:val="0"/>
        <w:autoSpaceDN w:val="0"/>
        <w:adjustRightInd w:val="0"/>
        <w:spacing w:after="0" w:line="240" w:lineRule="auto"/>
        <w:rPr>
          <w:rFonts w:ascii="Arial" w:hAnsi="Arial" w:cs="Arial"/>
          <w:b/>
          <w:bCs/>
          <w:sz w:val="24"/>
          <w:szCs w:val="24"/>
        </w:rPr>
      </w:pPr>
    </w:p>
    <w:p w:rsidR="00F451A7" w:rsidRPr="00504D8F" w:rsidRDefault="00911A5A" w:rsidP="00715AFE">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Purpose</w:t>
      </w:r>
    </w:p>
    <w:p w:rsidR="00911A5A" w:rsidRPr="00504D8F" w:rsidRDefault="00911A5A" w:rsidP="00715AFE">
      <w:pPr>
        <w:autoSpaceDE w:val="0"/>
        <w:autoSpaceDN w:val="0"/>
        <w:adjustRightInd w:val="0"/>
        <w:spacing w:after="0" w:line="240" w:lineRule="auto"/>
        <w:rPr>
          <w:rFonts w:ascii="Tahoma" w:hAnsi="Tahoma" w:cs="Tahoma"/>
          <w:b/>
          <w:bCs/>
          <w:sz w:val="24"/>
          <w:szCs w:val="24"/>
        </w:rPr>
      </w:pPr>
    </w:p>
    <w:p w:rsidR="00715AFE" w:rsidRPr="00504D8F" w:rsidRDefault="00911A5A"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 xml:space="preserve">The purpose of this paper is to </w:t>
      </w:r>
      <w:r w:rsidR="00C83EE0">
        <w:rPr>
          <w:rFonts w:ascii="Tahoma" w:hAnsi="Tahoma" w:cs="Tahoma"/>
          <w:bCs/>
          <w:sz w:val="24"/>
          <w:szCs w:val="24"/>
        </w:rPr>
        <w:t>provide m</w:t>
      </w:r>
      <w:r w:rsidR="006C147B" w:rsidRPr="00504D8F">
        <w:rPr>
          <w:rFonts w:ascii="Tahoma" w:hAnsi="Tahoma" w:cs="Tahoma"/>
          <w:bCs/>
          <w:sz w:val="24"/>
          <w:szCs w:val="24"/>
        </w:rPr>
        <w:t>embers</w:t>
      </w:r>
      <w:r w:rsidR="00715AFE" w:rsidRPr="00504D8F">
        <w:rPr>
          <w:rFonts w:ascii="Tahoma" w:hAnsi="Tahoma" w:cs="Tahoma"/>
          <w:bCs/>
          <w:sz w:val="24"/>
          <w:szCs w:val="24"/>
        </w:rPr>
        <w:t xml:space="preserve"> with an overview of the</w:t>
      </w:r>
      <w:r w:rsidR="0057089B" w:rsidRPr="00504D8F">
        <w:rPr>
          <w:rFonts w:ascii="Tahoma" w:hAnsi="Tahoma" w:cs="Tahoma"/>
          <w:bCs/>
          <w:sz w:val="24"/>
          <w:szCs w:val="24"/>
        </w:rPr>
        <w:t xml:space="preserve"> </w:t>
      </w:r>
      <w:r w:rsidR="00715AFE" w:rsidRPr="00504D8F">
        <w:rPr>
          <w:rFonts w:ascii="Tahoma" w:hAnsi="Tahoma" w:cs="Tahoma"/>
          <w:bCs/>
          <w:sz w:val="24"/>
          <w:szCs w:val="24"/>
        </w:rPr>
        <w:t>employment and economic development base in the</w:t>
      </w:r>
      <w:r w:rsidR="0057089B" w:rsidRPr="00504D8F">
        <w:rPr>
          <w:rFonts w:ascii="Tahoma" w:hAnsi="Tahoma" w:cs="Tahoma"/>
          <w:bCs/>
          <w:sz w:val="24"/>
          <w:szCs w:val="24"/>
        </w:rPr>
        <w:t xml:space="preserve"> </w:t>
      </w:r>
      <w:r w:rsidR="000F346A" w:rsidRPr="00504D8F">
        <w:rPr>
          <w:rFonts w:ascii="Tahoma" w:hAnsi="Tahoma" w:cs="Tahoma"/>
          <w:bCs/>
          <w:sz w:val="24"/>
          <w:szCs w:val="24"/>
        </w:rPr>
        <w:t>Council a</w:t>
      </w:r>
      <w:r w:rsidR="00715AFE" w:rsidRPr="00504D8F">
        <w:rPr>
          <w:rFonts w:ascii="Tahoma" w:hAnsi="Tahoma" w:cs="Tahoma"/>
          <w:bCs/>
          <w:sz w:val="24"/>
          <w:szCs w:val="24"/>
        </w:rPr>
        <w:t>rea and to consider the</w:t>
      </w:r>
      <w:r w:rsidR="0057089B" w:rsidRPr="00504D8F">
        <w:rPr>
          <w:rFonts w:ascii="Tahoma" w:hAnsi="Tahoma" w:cs="Tahoma"/>
          <w:bCs/>
          <w:sz w:val="24"/>
          <w:szCs w:val="24"/>
        </w:rPr>
        <w:t xml:space="preserve"> </w:t>
      </w:r>
      <w:r w:rsidR="00715AFE" w:rsidRPr="00504D8F">
        <w:rPr>
          <w:rFonts w:ascii="Tahoma" w:hAnsi="Tahoma" w:cs="Tahoma"/>
          <w:bCs/>
          <w:sz w:val="24"/>
          <w:szCs w:val="24"/>
        </w:rPr>
        <w:t xml:space="preserve">land requirements for </w:t>
      </w:r>
      <w:r w:rsidRPr="00504D8F">
        <w:rPr>
          <w:rFonts w:ascii="Tahoma" w:hAnsi="Tahoma" w:cs="Tahoma"/>
          <w:bCs/>
          <w:sz w:val="24"/>
          <w:szCs w:val="24"/>
        </w:rPr>
        <w:t xml:space="preserve">economic development uses up to </w:t>
      </w:r>
      <w:r w:rsidR="00715AFE" w:rsidRPr="00504D8F">
        <w:rPr>
          <w:rFonts w:ascii="Tahoma" w:hAnsi="Tahoma" w:cs="Tahoma"/>
          <w:bCs/>
          <w:sz w:val="24"/>
          <w:szCs w:val="24"/>
        </w:rPr>
        <w:t xml:space="preserve">2030. </w:t>
      </w:r>
    </w:p>
    <w:p w:rsidR="00911A5A" w:rsidRPr="00504D8F" w:rsidRDefault="00911A5A" w:rsidP="00715AFE">
      <w:pPr>
        <w:autoSpaceDE w:val="0"/>
        <w:autoSpaceDN w:val="0"/>
        <w:adjustRightInd w:val="0"/>
        <w:spacing w:after="0" w:line="240" w:lineRule="auto"/>
        <w:rPr>
          <w:rFonts w:ascii="Tahoma" w:hAnsi="Tahoma" w:cs="Tahoma"/>
          <w:bCs/>
          <w:sz w:val="24"/>
          <w:szCs w:val="24"/>
        </w:rPr>
      </w:pPr>
    </w:p>
    <w:p w:rsidR="00866BF0" w:rsidRDefault="00866BF0" w:rsidP="000822F3">
      <w:pPr>
        <w:autoSpaceDE w:val="0"/>
        <w:autoSpaceDN w:val="0"/>
        <w:adjustRightInd w:val="0"/>
        <w:spacing w:after="0" w:line="240" w:lineRule="auto"/>
        <w:rPr>
          <w:rFonts w:ascii="Tahoma" w:hAnsi="Tahoma" w:cs="Tahoma"/>
          <w:b/>
          <w:bCs/>
          <w:sz w:val="24"/>
          <w:szCs w:val="24"/>
        </w:rPr>
      </w:pPr>
    </w:p>
    <w:p w:rsidR="00911A5A" w:rsidRPr="00504D8F" w:rsidRDefault="00911A5A" w:rsidP="000822F3">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Content</w:t>
      </w:r>
    </w:p>
    <w:p w:rsidR="00911A5A" w:rsidRPr="00504D8F" w:rsidRDefault="00911A5A" w:rsidP="000822F3">
      <w:pPr>
        <w:autoSpaceDE w:val="0"/>
        <w:autoSpaceDN w:val="0"/>
        <w:adjustRightInd w:val="0"/>
        <w:spacing w:after="0" w:line="240" w:lineRule="auto"/>
        <w:rPr>
          <w:rFonts w:ascii="Tahoma" w:hAnsi="Tahoma" w:cs="Tahoma"/>
          <w:b/>
          <w:bCs/>
          <w:sz w:val="24"/>
          <w:szCs w:val="24"/>
        </w:rPr>
      </w:pPr>
    </w:p>
    <w:p w:rsidR="000822F3" w:rsidRPr="00504D8F" w:rsidRDefault="000822F3" w:rsidP="000822F3">
      <w:p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The paper provides:-</w:t>
      </w:r>
    </w:p>
    <w:p w:rsidR="000822F3" w:rsidRPr="00504D8F" w:rsidRDefault="000822F3" w:rsidP="000822F3">
      <w:pPr>
        <w:autoSpaceDE w:val="0"/>
        <w:autoSpaceDN w:val="0"/>
        <w:adjustRightInd w:val="0"/>
        <w:spacing w:after="0" w:line="240" w:lineRule="auto"/>
        <w:rPr>
          <w:rFonts w:ascii="Tahoma" w:hAnsi="Tahoma" w:cs="Tahoma"/>
          <w:bCs/>
          <w:sz w:val="24"/>
          <w:szCs w:val="24"/>
        </w:rPr>
      </w:pPr>
    </w:p>
    <w:p w:rsidR="000822F3" w:rsidRPr="00504D8F" w:rsidRDefault="000822F3" w:rsidP="00003A04">
      <w:pPr>
        <w:pStyle w:val="ListParagraph"/>
        <w:numPr>
          <w:ilvl w:val="0"/>
          <w:numId w:val="14"/>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the regional policy context for formulating Local</w:t>
      </w:r>
    </w:p>
    <w:p w:rsidR="000822F3" w:rsidRPr="00504D8F" w:rsidRDefault="000822F3" w:rsidP="00003A04">
      <w:pPr>
        <w:pStyle w:val="ListParagraph"/>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Development Plan policies for economic development;</w:t>
      </w:r>
    </w:p>
    <w:p w:rsidR="000822F3" w:rsidRPr="00504D8F" w:rsidRDefault="000822F3" w:rsidP="000822F3">
      <w:pPr>
        <w:autoSpaceDE w:val="0"/>
        <w:autoSpaceDN w:val="0"/>
        <w:adjustRightInd w:val="0"/>
        <w:spacing w:after="0" w:line="240" w:lineRule="auto"/>
        <w:rPr>
          <w:rFonts w:ascii="Tahoma" w:hAnsi="Tahoma" w:cs="Tahoma"/>
          <w:bCs/>
          <w:sz w:val="24"/>
          <w:szCs w:val="24"/>
        </w:rPr>
      </w:pPr>
    </w:p>
    <w:p w:rsidR="000822F3" w:rsidRPr="00504D8F" w:rsidRDefault="000822F3" w:rsidP="000822F3">
      <w:pPr>
        <w:pStyle w:val="ListParagraph"/>
        <w:numPr>
          <w:ilvl w:val="0"/>
          <w:numId w:val="14"/>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 xml:space="preserve">a socio-economic profile of  Newry, </w:t>
      </w:r>
      <w:proofErr w:type="spellStart"/>
      <w:r w:rsidRPr="00504D8F">
        <w:rPr>
          <w:rFonts w:ascii="Tahoma" w:hAnsi="Tahoma" w:cs="Tahoma"/>
          <w:bCs/>
          <w:sz w:val="24"/>
          <w:szCs w:val="24"/>
        </w:rPr>
        <w:t>Mourne</w:t>
      </w:r>
      <w:proofErr w:type="spellEnd"/>
      <w:r w:rsidRPr="00504D8F">
        <w:rPr>
          <w:rFonts w:ascii="Tahoma" w:hAnsi="Tahoma" w:cs="Tahoma"/>
          <w:bCs/>
          <w:sz w:val="24"/>
          <w:szCs w:val="24"/>
        </w:rPr>
        <w:t xml:space="preserve"> and</w:t>
      </w:r>
      <w:r w:rsidR="00B87FE5" w:rsidRPr="00504D8F">
        <w:rPr>
          <w:rFonts w:ascii="Tahoma" w:hAnsi="Tahoma" w:cs="Tahoma"/>
          <w:bCs/>
          <w:sz w:val="24"/>
          <w:szCs w:val="24"/>
        </w:rPr>
        <w:t xml:space="preserve"> </w:t>
      </w:r>
      <w:r w:rsidRPr="00504D8F">
        <w:rPr>
          <w:rFonts w:ascii="Tahoma" w:hAnsi="Tahoma" w:cs="Tahoma"/>
          <w:bCs/>
          <w:sz w:val="24"/>
          <w:szCs w:val="24"/>
        </w:rPr>
        <w:t>Down District;</w:t>
      </w:r>
    </w:p>
    <w:p w:rsidR="000822F3" w:rsidRPr="00504D8F" w:rsidRDefault="000822F3" w:rsidP="000822F3">
      <w:pPr>
        <w:autoSpaceDE w:val="0"/>
        <w:autoSpaceDN w:val="0"/>
        <w:adjustRightInd w:val="0"/>
        <w:spacing w:after="0" w:line="240" w:lineRule="auto"/>
        <w:rPr>
          <w:rFonts w:ascii="Tahoma" w:hAnsi="Tahoma" w:cs="Tahoma"/>
          <w:bCs/>
          <w:sz w:val="24"/>
          <w:szCs w:val="24"/>
        </w:rPr>
      </w:pPr>
    </w:p>
    <w:p w:rsidR="000822F3" w:rsidRDefault="00F52BA9" w:rsidP="000822F3">
      <w:pPr>
        <w:pStyle w:val="ListParagraph"/>
        <w:numPr>
          <w:ilvl w:val="0"/>
          <w:numId w:val="14"/>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a brief</w:t>
      </w:r>
      <w:r w:rsidR="00CB0657" w:rsidRPr="00504D8F">
        <w:rPr>
          <w:rFonts w:ascii="Tahoma" w:hAnsi="Tahoma" w:cs="Tahoma"/>
          <w:bCs/>
          <w:sz w:val="24"/>
          <w:szCs w:val="24"/>
        </w:rPr>
        <w:t xml:space="preserve"> overview of tourism and land use planning</w:t>
      </w:r>
      <w:r w:rsidR="000822F3" w:rsidRPr="00504D8F">
        <w:rPr>
          <w:rFonts w:ascii="Tahoma" w:hAnsi="Tahoma" w:cs="Tahoma"/>
          <w:bCs/>
          <w:sz w:val="24"/>
          <w:szCs w:val="24"/>
        </w:rPr>
        <w:t xml:space="preserve">; </w:t>
      </w:r>
    </w:p>
    <w:p w:rsidR="00735479" w:rsidRPr="00735479" w:rsidRDefault="00735479" w:rsidP="00735479">
      <w:pPr>
        <w:pStyle w:val="ListParagraph"/>
        <w:rPr>
          <w:rFonts w:ascii="Tahoma" w:hAnsi="Tahoma" w:cs="Tahoma"/>
          <w:bCs/>
          <w:sz w:val="24"/>
          <w:szCs w:val="24"/>
        </w:rPr>
      </w:pPr>
    </w:p>
    <w:p w:rsidR="00735479" w:rsidRDefault="00735479" w:rsidP="00735479">
      <w:pPr>
        <w:pStyle w:val="ListParagraph"/>
        <w:numPr>
          <w:ilvl w:val="0"/>
          <w:numId w:val="14"/>
        </w:numPr>
        <w:rPr>
          <w:rFonts w:ascii="Tahoma" w:hAnsi="Tahoma" w:cs="Tahoma"/>
          <w:bCs/>
          <w:sz w:val="24"/>
          <w:szCs w:val="24"/>
        </w:rPr>
      </w:pPr>
      <w:r w:rsidRPr="00735479">
        <w:rPr>
          <w:rFonts w:ascii="Tahoma" w:hAnsi="Tahoma" w:cs="Tahoma"/>
          <w:bCs/>
          <w:sz w:val="24"/>
          <w:szCs w:val="24"/>
        </w:rPr>
        <w:t xml:space="preserve">an overview of existing provision and uptake of zoned economic development land in the </w:t>
      </w:r>
      <w:proofErr w:type="spellStart"/>
      <w:r w:rsidR="00EA2713">
        <w:rPr>
          <w:rFonts w:ascii="Tahoma" w:hAnsi="Tahoma" w:cs="Tahoma"/>
          <w:bCs/>
          <w:sz w:val="24"/>
          <w:szCs w:val="24"/>
        </w:rPr>
        <w:t>Banbridge</w:t>
      </w:r>
      <w:proofErr w:type="spellEnd"/>
      <w:r w:rsidR="00EA2713">
        <w:rPr>
          <w:rFonts w:ascii="Tahoma" w:hAnsi="Tahoma" w:cs="Tahoma"/>
          <w:bCs/>
          <w:sz w:val="24"/>
          <w:szCs w:val="24"/>
        </w:rPr>
        <w:t>/</w:t>
      </w:r>
      <w:r w:rsidRPr="00735479">
        <w:rPr>
          <w:rFonts w:ascii="Tahoma" w:hAnsi="Tahoma" w:cs="Tahoma"/>
          <w:bCs/>
          <w:sz w:val="24"/>
          <w:szCs w:val="24"/>
        </w:rPr>
        <w:t xml:space="preserve">Newry &amp; </w:t>
      </w:r>
      <w:proofErr w:type="spellStart"/>
      <w:r w:rsidRPr="00735479">
        <w:rPr>
          <w:rFonts w:ascii="Tahoma" w:hAnsi="Tahoma" w:cs="Tahoma"/>
          <w:bCs/>
          <w:sz w:val="24"/>
          <w:szCs w:val="24"/>
        </w:rPr>
        <w:t>Mourne</w:t>
      </w:r>
      <w:proofErr w:type="spellEnd"/>
      <w:r w:rsidRPr="00735479">
        <w:rPr>
          <w:rFonts w:ascii="Tahoma" w:hAnsi="Tahoma" w:cs="Tahoma"/>
          <w:bCs/>
          <w:sz w:val="24"/>
          <w:szCs w:val="24"/>
        </w:rPr>
        <w:t xml:space="preserve"> and </w:t>
      </w:r>
      <w:proofErr w:type="spellStart"/>
      <w:r w:rsidR="00EA2713">
        <w:rPr>
          <w:rFonts w:ascii="Tahoma" w:hAnsi="Tahoma" w:cs="Tahoma"/>
          <w:bCs/>
          <w:sz w:val="24"/>
          <w:szCs w:val="24"/>
        </w:rPr>
        <w:t>Ards</w:t>
      </w:r>
      <w:proofErr w:type="spellEnd"/>
      <w:r w:rsidR="00EA2713">
        <w:rPr>
          <w:rFonts w:ascii="Tahoma" w:hAnsi="Tahoma" w:cs="Tahoma"/>
          <w:bCs/>
          <w:sz w:val="24"/>
          <w:szCs w:val="24"/>
        </w:rPr>
        <w:t xml:space="preserve"> &amp; </w:t>
      </w:r>
      <w:r w:rsidRPr="00735479">
        <w:rPr>
          <w:rFonts w:ascii="Tahoma" w:hAnsi="Tahoma" w:cs="Tahoma"/>
          <w:bCs/>
          <w:sz w:val="24"/>
          <w:szCs w:val="24"/>
        </w:rPr>
        <w:t>Down Area Plans;</w:t>
      </w:r>
    </w:p>
    <w:p w:rsidR="00735479" w:rsidRPr="00735479" w:rsidRDefault="00735479" w:rsidP="00735479">
      <w:pPr>
        <w:pStyle w:val="ListParagraph"/>
        <w:rPr>
          <w:rFonts w:ascii="Tahoma" w:hAnsi="Tahoma" w:cs="Tahoma"/>
          <w:bCs/>
          <w:sz w:val="24"/>
          <w:szCs w:val="24"/>
        </w:rPr>
      </w:pPr>
    </w:p>
    <w:p w:rsidR="000822F3" w:rsidRPr="00504D8F" w:rsidRDefault="000822F3" w:rsidP="000822F3">
      <w:pPr>
        <w:pStyle w:val="ListParagraph"/>
        <w:numPr>
          <w:ilvl w:val="0"/>
          <w:numId w:val="14"/>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an assessment of the number of new jobs required and how this can be translated into fu</w:t>
      </w:r>
      <w:r w:rsidR="005E60AF" w:rsidRPr="00504D8F">
        <w:rPr>
          <w:rFonts w:ascii="Tahoma" w:hAnsi="Tahoma" w:cs="Tahoma"/>
          <w:bCs/>
          <w:sz w:val="24"/>
          <w:szCs w:val="24"/>
        </w:rPr>
        <w:t>ture economic land requirements; a</w:t>
      </w:r>
      <w:r w:rsidRPr="00504D8F">
        <w:rPr>
          <w:rFonts w:ascii="Tahoma" w:hAnsi="Tahoma" w:cs="Tahoma"/>
          <w:bCs/>
          <w:sz w:val="24"/>
          <w:szCs w:val="24"/>
        </w:rPr>
        <w:t>nd</w:t>
      </w:r>
    </w:p>
    <w:p w:rsidR="000822F3" w:rsidRPr="00504D8F" w:rsidRDefault="000822F3" w:rsidP="000822F3">
      <w:pPr>
        <w:pStyle w:val="ListParagraph"/>
        <w:rPr>
          <w:rFonts w:ascii="Tahoma" w:hAnsi="Tahoma" w:cs="Tahoma"/>
          <w:bCs/>
          <w:sz w:val="24"/>
          <w:szCs w:val="24"/>
        </w:rPr>
      </w:pPr>
    </w:p>
    <w:p w:rsidR="000822F3" w:rsidRPr="00504D8F" w:rsidRDefault="000822F3" w:rsidP="000822F3">
      <w:pPr>
        <w:pStyle w:val="ListParagraph"/>
        <w:numPr>
          <w:ilvl w:val="0"/>
          <w:numId w:val="14"/>
        </w:numPr>
        <w:autoSpaceDE w:val="0"/>
        <w:autoSpaceDN w:val="0"/>
        <w:adjustRightInd w:val="0"/>
        <w:spacing w:after="0" w:line="240" w:lineRule="auto"/>
        <w:rPr>
          <w:rFonts w:ascii="Tahoma" w:hAnsi="Tahoma" w:cs="Tahoma"/>
          <w:bCs/>
          <w:sz w:val="24"/>
          <w:szCs w:val="24"/>
        </w:rPr>
      </w:pPr>
      <w:proofErr w:type="gramStart"/>
      <w:r w:rsidRPr="00504D8F">
        <w:rPr>
          <w:rFonts w:ascii="Tahoma" w:hAnsi="Tahoma" w:cs="Tahoma"/>
          <w:bCs/>
          <w:sz w:val="24"/>
          <w:szCs w:val="24"/>
        </w:rPr>
        <w:t>a</w:t>
      </w:r>
      <w:proofErr w:type="gramEnd"/>
      <w:r w:rsidRPr="00504D8F">
        <w:rPr>
          <w:rFonts w:ascii="Tahoma" w:hAnsi="Tahoma" w:cs="Tahoma"/>
          <w:bCs/>
          <w:sz w:val="24"/>
          <w:szCs w:val="24"/>
        </w:rPr>
        <w:t xml:space="preserve"> summary of key findings</w:t>
      </w:r>
      <w:r w:rsidR="007A429B" w:rsidRPr="00504D8F">
        <w:rPr>
          <w:rFonts w:ascii="Tahoma" w:hAnsi="Tahoma" w:cs="Tahoma"/>
          <w:bCs/>
          <w:sz w:val="24"/>
          <w:szCs w:val="24"/>
        </w:rPr>
        <w:t>.</w:t>
      </w:r>
    </w:p>
    <w:p w:rsidR="000822F3" w:rsidRPr="00504D8F" w:rsidRDefault="000822F3" w:rsidP="000822F3">
      <w:pPr>
        <w:autoSpaceDE w:val="0"/>
        <w:autoSpaceDN w:val="0"/>
        <w:adjustRightInd w:val="0"/>
        <w:spacing w:after="0" w:line="240" w:lineRule="auto"/>
        <w:rPr>
          <w:rFonts w:ascii="Tahoma" w:hAnsi="Tahoma" w:cs="Tahoma"/>
          <w:b/>
          <w:bCs/>
          <w:sz w:val="24"/>
          <w:szCs w:val="24"/>
        </w:rPr>
      </w:pPr>
    </w:p>
    <w:p w:rsidR="000822F3" w:rsidRDefault="000822F3" w:rsidP="000822F3">
      <w:pPr>
        <w:rPr>
          <w:rFonts w:ascii="Arial" w:hAnsi="Arial" w:cs="Arial"/>
          <w:b/>
          <w:bCs/>
          <w:sz w:val="28"/>
          <w:szCs w:val="28"/>
        </w:rPr>
      </w:pPr>
      <w:r>
        <w:rPr>
          <w:rFonts w:ascii="Arial" w:hAnsi="Arial" w:cs="Arial"/>
          <w:b/>
          <w:bCs/>
          <w:sz w:val="28"/>
          <w:szCs w:val="28"/>
        </w:rPr>
        <w:br w:type="page"/>
      </w:r>
    </w:p>
    <w:p w:rsidR="00715AFE" w:rsidRPr="00504D8F" w:rsidRDefault="00715AFE" w:rsidP="00715AFE">
      <w:pPr>
        <w:autoSpaceDE w:val="0"/>
        <w:autoSpaceDN w:val="0"/>
        <w:adjustRightInd w:val="0"/>
        <w:spacing w:after="0" w:line="240" w:lineRule="auto"/>
        <w:rPr>
          <w:rFonts w:ascii="Tahoma" w:hAnsi="Tahoma" w:cs="Tahoma"/>
          <w:b/>
          <w:bCs/>
          <w:sz w:val="28"/>
          <w:szCs w:val="28"/>
        </w:rPr>
      </w:pPr>
      <w:r w:rsidRPr="00504D8F">
        <w:rPr>
          <w:rFonts w:ascii="Tahoma" w:hAnsi="Tahoma" w:cs="Tahoma"/>
          <w:b/>
          <w:bCs/>
          <w:sz w:val="28"/>
          <w:szCs w:val="28"/>
        </w:rPr>
        <w:lastRenderedPageBreak/>
        <w:t xml:space="preserve">1.0 </w:t>
      </w:r>
      <w:r w:rsidR="00866BF0">
        <w:rPr>
          <w:rFonts w:ascii="Tahoma" w:hAnsi="Tahoma" w:cs="Tahoma"/>
          <w:b/>
          <w:bCs/>
          <w:sz w:val="28"/>
          <w:szCs w:val="28"/>
        </w:rPr>
        <w:tab/>
      </w:r>
      <w:r w:rsidRPr="00504D8F">
        <w:rPr>
          <w:rFonts w:ascii="Tahoma" w:hAnsi="Tahoma" w:cs="Tahoma"/>
          <w:b/>
          <w:bCs/>
          <w:sz w:val="28"/>
          <w:szCs w:val="28"/>
        </w:rPr>
        <w:t>Introduction</w:t>
      </w:r>
    </w:p>
    <w:p w:rsidR="00521574" w:rsidRDefault="00521574" w:rsidP="00715AFE">
      <w:pPr>
        <w:autoSpaceDE w:val="0"/>
        <w:autoSpaceDN w:val="0"/>
        <w:adjustRightInd w:val="0"/>
        <w:spacing w:after="0" w:line="240" w:lineRule="auto"/>
        <w:rPr>
          <w:rFonts w:ascii="Arial" w:hAnsi="Arial" w:cs="Arial"/>
          <w:b/>
          <w:bCs/>
          <w:sz w:val="24"/>
          <w:szCs w:val="24"/>
        </w:rPr>
      </w:pPr>
    </w:p>
    <w:p w:rsidR="00521574" w:rsidRPr="00504D8F" w:rsidRDefault="00C37958" w:rsidP="008E411D">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1.1</w:t>
      </w:r>
      <w:r w:rsidR="00521574" w:rsidRPr="00504D8F">
        <w:rPr>
          <w:rFonts w:ascii="Tahoma" w:hAnsi="Tahoma" w:cs="Tahoma"/>
          <w:b/>
          <w:bCs/>
          <w:sz w:val="24"/>
          <w:szCs w:val="24"/>
        </w:rPr>
        <w:t xml:space="preserve"> </w:t>
      </w:r>
      <w:r w:rsidR="00866BF0">
        <w:rPr>
          <w:rFonts w:ascii="Tahoma" w:hAnsi="Tahoma" w:cs="Tahoma"/>
          <w:b/>
          <w:bCs/>
          <w:sz w:val="24"/>
          <w:szCs w:val="24"/>
        </w:rPr>
        <w:tab/>
      </w:r>
      <w:r w:rsidR="00521574" w:rsidRPr="00504D8F">
        <w:rPr>
          <w:rFonts w:ascii="Tahoma" w:hAnsi="Tahoma" w:cs="Tahoma"/>
          <w:sz w:val="24"/>
          <w:szCs w:val="24"/>
        </w:rPr>
        <w:t>The purpose</w:t>
      </w:r>
      <w:r w:rsidR="006C147B" w:rsidRPr="00504D8F">
        <w:rPr>
          <w:rFonts w:ascii="Tahoma" w:hAnsi="Tahoma" w:cs="Tahoma"/>
          <w:sz w:val="24"/>
          <w:szCs w:val="24"/>
        </w:rPr>
        <w:t xml:space="preserve"> of this paper is to inform </w:t>
      </w:r>
      <w:r>
        <w:rPr>
          <w:rFonts w:ascii="Tahoma" w:hAnsi="Tahoma" w:cs="Tahoma"/>
          <w:sz w:val="24"/>
          <w:szCs w:val="24"/>
        </w:rPr>
        <w:t>m</w:t>
      </w:r>
      <w:r w:rsidR="00E44D80" w:rsidRPr="00504D8F">
        <w:rPr>
          <w:rFonts w:ascii="Tahoma" w:hAnsi="Tahoma" w:cs="Tahoma"/>
          <w:sz w:val="24"/>
          <w:szCs w:val="24"/>
        </w:rPr>
        <w:t>emb</w:t>
      </w:r>
      <w:r w:rsidR="006C147B" w:rsidRPr="00504D8F">
        <w:rPr>
          <w:rFonts w:ascii="Tahoma" w:hAnsi="Tahoma" w:cs="Tahoma"/>
          <w:sz w:val="24"/>
          <w:szCs w:val="24"/>
        </w:rPr>
        <w:t xml:space="preserve">ers </w:t>
      </w:r>
      <w:r w:rsidR="00651F0E" w:rsidRPr="00504D8F">
        <w:rPr>
          <w:rFonts w:ascii="Tahoma" w:hAnsi="Tahoma" w:cs="Tahoma"/>
          <w:sz w:val="24"/>
          <w:szCs w:val="24"/>
        </w:rPr>
        <w:t xml:space="preserve">of </w:t>
      </w:r>
      <w:r w:rsidR="00521574" w:rsidRPr="00504D8F">
        <w:rPr>
          <w:rFonts w:ascii="Tahoma" w:hAnsi="Tahoma" w:cs="Tahoma"/>
          <w:sz w:val="24"/>
          <w:szCs w:val="24"/>
        </w:rPr>
        <w:t xml:space="preserve">the </w:t>
      </w:r>
      <w:r w:rsidR="00864A20" w:rsidRPr="00504D8F">
        <w:rPr>
          <w:rFonts w:ascii="Tahoma" w:hAnsi="Tahoma" w:cs="Tahoma"/>
          <w:sz w:val="24"/>
          <w:szCs w:val="24"/>
        </w:rPr>
        <w:t xml:space="preserve">current </w:t>
      </w:r>
      <w:r w:rsidR="00521574" w:rsidRPr="00504D8F">
        <w:rPr>
          <w:rFonts w:ascii="Tahoma" w:hAnsi="Tahoma" w:cs="Tahoma"/>
          <w:sz w:val="24"/>
          <w:szCs w:val="24"/>
        </w:rPr>
        <w:t>p</w:t>
      </w:r>
      <w:r w:rsidR="00EA7540" w:rsidRPr="00504D8F">
        <w:rPr>
          <w:rFonts w:ascii="Tahoma" w:hAnsi="Tahoma" w:cs="Tahoma"/>
          <w:sz w:val="24"/>
          <w:szCs w:val="24"/>
        </w:rPr>
        <w:t xml:space="preserve">rovision of </w:t>
      </w:r>
      <w:r w:rsidR="00E10641" w:rsidRPr="00504D8F">
        <w:rPr>
          <w:rFonts w:ascii="Tahoma" w:hAnsi="Tahoma" w:cs="Tahoma"/>
          <w:sz w:val="24"/>
          <w:szCs w:val="24"/>
        </w:rPr>
        <w:t xml:space="preserve">employment/economic </w:t>
      </w:r>
      <w:r w:rsidR="00521574" w:rsidRPr="00504D8F">
        <w:rPr>
          <w:rFonts w:ascii="Tahoma" w:hAnsi="Tahoma" w:cs="Tahoma"/>
          <w:sz w:val="24"/>
          <w:szCs w:val="24"/>
        </w:rPr>
        <w:t xml:space="preserve">development land </w:t>
      </w:r>
      <w:r w:rsidR="00864A20" w:rsidRPr="00504D8F">
        <w:rPr>
          <w:rFonts w:ascii="Tahoma" w:hAnsi="Tahoma" w:cs="Tahoma"/>
          <w:sz w:val="24"/>
          <w:szCs w:val="24"/>
        </w:rPr>
        <w:t xml:space="preserve">within the Council area and to consider how this land </w:t>
      </w:r>
      <w:r w:rsidR="00651F0E" w:rsidRPr="00504D8F">
        <w:rPr>
          <w:rFonts w:ascii="Tahoma" w:hAnsi="Tahoma" w:cs="Tahoma"/>
          <w:sz w:val="24"/>
          <w:szCs w:val="24"/>
        </w:rPr>
        <w:t>could</w:t>
      </w:r>
      <w:r w:rsidR="00864A20" w:rsidRPr="00504D8F">
        <w:rPr>
          <w:rFonts w:ascii="Tahoma" w:hAnsi="Tahoma" w:cs="Tahoma"/>
          <w:sz w:val="24"/>
          <w:szCs w:val="24"/>
        </w:rPr>
        <w:t xml:space="preserve"> be distributed in the future. </w:t>
      </w:r>
      <w:r w:rsidR="00E10641" w:rsidRPr="00504D8F">
        <w:rPr>
          <w:rFonts w:ascii="Tahoma" w:hAnsi="Tahoma" w:cs="Tahoma"/>
          <w:sz w:val="24"/>
          <w:szCs w:val="24"/>
        </w:rPr>
        <w:t xml:space="preserve">It sets out the regional </w:t>
      </w:r>
      <w:r w:rsidR="00521574" w:rsidRPr="00504D8F">
        <w:rPr>
          <w:rFonts w:ascii="Tahoma" w:hAnsi="Tahoma" w:cs="Tahoma"/>
          <w:sz w:val="24"/>
          <w:szCs w:val="24"/>
        </w:rPr>
        <w:t>context for economic development, the supply of industri</w:t>
      </w:r>
      <w:r w:rsidR="00E10641" w:rsidRPr="00504D8F">
        <w:rPr>
          <w:rFonts w:ascii="Tahoma" w:hAnsi="Tahoma" w:cs="Tahoma"/>
          <w:sz w:val="24"/>
          <w:szCs w:val="24"/>
        </w:rPr>
        <w:t xml:space="preserve">al zoned land and </w:t>
      </w:r>
      <w:r w:rsidR="00521574" w:rsidRPr="00504D8F">
        <w:rPr>
          <w:rFonts w:ascii="Tahoma" w:hAnsi="Tahoma" w:cs="Tahoma"/>
          <w:sz w:val="24"/>
          <w:szCs w:val="24"/>
        </w:rPr>
        <w:t>extent of past take up</w:t>
      </w:r>
      <w:r w:rsidR="00B87FE5" w:rsidRPr="00504D8F">
        <w:rPr>
          <w:rFonts w:ascii="Tahoma" w:hAnsi="Tahoma" w:cs="Tahoma"/>
          <w:sz w:val="24"/>
          <w:szCs w:val="24"/>
        </w:rPr>
        <w:t>,</w:t>
      </w:r>
      <w:r w:rsidR="00EA2713">
        <w:rPr>
          <w:rFonts w:ascii="Tahoma" w:hAnsi="Tahoma" w:cs="Tahoma"/>
          <w:sz w:val="24"/>
          <w:szCs w:val="24"/>
        </w:rPr>
        <w:t xml:space="preserve"> and examines </w:t>
      </w:r>
      <w:r w:rsidR="00E10641" w:rsidRPr="00504D8F">
        <w:rPr>
          <w:rFonts w:ascii="Tahoma" w:hAnsi="Tahoma" w:cs="Tahoma"/>
          <w:sz w:val="24"/>
          <w:szCs w:val="24"/>
        </w:rPr>
        <w:t xml:space="preserve">the employment and economic </w:t>
      </w:r>
      <w:r w:rsidR="00521574" w:rsidRPr="00504D8F">
        <w:rPr>
          <w:rFonts w:ascii="Tahoma" w:hAnsi="Tahoma" w:cs="Tahoma"/>
          <w:sz w:val="24"/>
          <w:szCs w:val="24"/>
        </w:rPr>
        <w:t xml:space="preserve">base of the new Council area. It provides an </w:t>
      </w:r>
      <w:r w:rsidR="00E10641" w:rsidRPr="00504D8F">
        <w:rPr>
          <w:rFonts w:ascii="Tahoma" w:hAnsi="Tahoma" w:cs="Tahoma"/>
          <w:sz w:val="24"/>
          <w:szCs w:val="24"/>
        </w:rPr>
        <w:t xml:space="preserve">indication of how many jobs are </w:t>
      </w:r>
      <w:r w:rsidR="00521574" w:rsidRPr="00504D8F">
        <w:rPr>
          <w:rFonts w:ascii="Tahoma" w:hAnsi="Tahoma" w:cs="Tahoma"/>
          <w:sz w:val="24"/>
          <w:szCs w:val="24"/>
        </w:rPr>
        <w:t>required to both cater for a growing populatio</w:t>
      </w:r>
      <w:r w:rsidR="00E10641" w:rsidRPr="00504D8F">
        <w:rPr>
          <w:rFonts w:ascii="Tahoma" w:hAnsi="Tahoma" w:cs="Tahoma"/>
          <w:sz w:val="24"/>
          <w:szCs w:val="24"/>
        </w:rPr>
        <w:t xml:space="preserve">n and to address issues such as </w:t>
      </w:r>
      <w:r w:rsidR="00521574" w:rsidRPr="00504D8F">
        <w:rPr>
          <w:rFonts w:ascii="Tahoma" w:hAnsi="Tahoma" w:cs="Tahoma"/>
          <w:sz w:val="24"/>
          <w:szCs w:val="24"/>
        </w:rPr>
        <w:t>unemployment and deprivation</w:t>
      </w:r>
      <w:r w:rsidR="00C34726" w:rsidRPr="00504D8F">
        <w:rPr>
          <w:rFonts w:ascii="Tahoma" w:hAnsi="Tahoma" w:cs="Tahoma"/>
          <w:sz w:val="24"/>
          <w:szCs w:val="24"/>
        </w:rPr>
        <w:t>; and h</w:t>
      </w:r>
      <w:r w:rsidR="00521574" w:rsidRPr="00504D8F">
        <w:rPr>
          <w:rFonts w:ascii="Tahoma" w:hAnsi="Tahoma" w:cs="Tahoma"/>
          <w:sz w:val="24"/>
          <w:szCs w:val="24"/>
        </w:rPr>
        <w:t>ow</w:t>
      </w:r>
      <w:r w:rsidR="00E10641" w:rsidRPr="00504D8F">
        <w:rPr>
          <w:rFonts w:ascii="Tahoma" w:hAnsi="Tahoma" w:cs="Tahoma"/>
          <w:sz w:val="24"/>
          <w:szCs w:val="24"/>
        </w:rPr>
        <w:t xml:space="preserve"> these jobs can be accommodated </w:t>
      </w:r>
      <w:r w:rsidR="00521574" w:rsidRPr="00504D8F">
        <w:rPr>
          <w:rFonts w:ascii="Tahoma" w:hAnsi="Tahoma" w:cs="Tahoma"/>
          <w:sz w:val="24"/>
          <w:szCs w:val="24"/>
        </w:rPr>
        <w:t>across employment sectors and transl</w:t>
      </w:r>
      <w:r w:rsidR="00E10641" w:rsidRPr="00504D8F">
        <w:rPr>
          <w:rFonts w:ascii="Tahoma" w:hAnsi="Tahoma" w:cs="Tahoma"/>
          <w:sz w:val="24"/>
          <w:szCs w:val="24"/>
        </w:rPr>
        <w:t xml:space="preserve">ated into a need for additional </w:t>
      </w:r>
      <w:r w:rsidR="00521574" w:rsidRPr="00504D8F">
        <w:rPr>
          <w:rFonts w:ascii="Tahoma" w:hAnsi="Tahoma" w:cs="Tahoma"/>
          <w:sz w:val="24"/>
          <w:szCs w:val="24"/>
        </w:rPr>
        <w:t>employment land up to 2030 is also consi</w:t>
      </w:r>
      <w:r w:rsidR="00E10641" w:rsidRPr="00504D8F">
        <w:rPr>
          <w:rFonts w:ascii="Tahoma" w:hAnsi="Tahoma" w:cs="Tahoma"/>
          <w:sz w:val="24"/>
          <w:szCs w:val="24"/>
        </w:rPr>
        <w:t xml:space="preserve">dered. The paper allows members </w:t>
      </w:r>
      <w:r w:rsidR="00521574" w:rsidRPr="00504D8F">
        <w:rPr>
          <w:rFonts w:ascii="Tahoma" w:hAnsi="Tahoma" w:cs="Tahoma"/>
          <w:sz w:val="24"/>
          <w:szCs w:val="24"/>
        </w:rPr>
        <w:t>to commence consideration of how economic policy may be formu</w:t>
      </w:r>
      <w:r w:rsidR="00E10641" w:rsidRPr="00504D8F">
        <w:rPr>
          <w:rFonts w:ascii="Tahoma" w:hAnsi="Tahoma" w:cs="Tahoma"/>
          <w:sz w:val="24"/>
          <w:szCs w:val="24"/>
        </w:rPr>
        <w:t xml:space="preserve">lated within </w:t>
      </w:r>
      <w:r w:rsidR="005E60AF" w:rsidRPr="00504D8F">
        <w:rPr>
          <w:rFonts w:ascii="Tahoma" w:hAnsi="Tahoma" w:cs="Tahoma"/>
          <w:sz w:val="24"/>
          <w:szCs w:val="24"/>
        </w:rPr>
        <w:t xml:space="preserve">the context of the Regional Development Strategy </w:t>
      </w:r>
      <w:r w:rsidR="00C34726" w:rsidRPr="00504D8F">
        <w:rPr>
          <w:rFonts w:ascii="Tahoma" w:hAnsi="Tahoma" w:cs="Tahoma"/>
          <w:sz w:val="24"/>
          <w:szCs w:val="24"/>
        </w:rPr>
        <w:t xml:space="preserve">2035 </w:t>
      </w:r>
      <w:r w:rsidR="005E60AF" w:rsidRPr="00504D8F">
        <w:rPr>
          <w:rFonts w:ascii="Tahoma" w:hAnsi="Tahoma" w:cs="Tahoma"/>
          <w:sz w:val="24"/>
          <w:szCs w:val="24"/>
        </w:rPr>
        <w:t>(RDS)</w:t>
      </w:r>
      <w:r w:rsidR="00521574" w:rsidRPr="00504D8F">
        <w:rPr>
          <w:rFonts w:ascii="Tahoma" w:hAnsi="Tahoma" w:cs="Tahoma"/>
          <w:sz w:val="24"/>
          <w:szCs w:val="24"/>
        </w:rPr>
        <w:t xml:space="preserve"> and the Strategic Planning Policy Sta</w:t>
      </w:r>
      <w:r w:rsidR="005E60AF" w:rsidRPr="00504D8F">
        <w:rPr>
          <w:rFonts w:ascii="Tahoma" w:hAnsi="Tahoma" w:cs="Tahoma"/>
          <w:sz w:val="24"/>
          <w:szCs w:val="24"/>
        </w:rPr>
        <w:t>tement (SPPS).</w:t>
      </w:r>
    </w:p>
    <w:p w:rsidR="00800E3D" w:rsidRDefault="00800E3D" w:rsidP="00EA7540">
      <w:pPr>
        <w:autoSpaceDE w:val="0"/>
        <w:autoSpaceDN w:val="0"/>
        <w:adjustRightInd w:val="0"/>
        <w:spacing w:after="0" w:line="240" w:lineRule="auto"/>
        <w:rPr>
          <w:rFonts w:ascii="Arial" w:hAnsi="Arial" w:cs="Arial"/>
          <w:sz w:val="24"/>
          <w:szCs w:val="24"/>
        </w:rPr>
      </w:pPr>
    </w:p>
    <w:p w:rsidR="00521574" w:rsidRDefault="00521574" w:rsidP="00521574">
      <w:pPr>
        <w:autoSpaceDE w:val="0"/>
        <w:autoSpaceDN w:val="0"/>
        <w:adjustRightInd w:val="0"/>
        <w:spacing w:after="0" w:line="240" w:lineRule="auto"/>
        <w:rPr>
          <w:rFonts w:ascii="Arial" w:hAnsi="Arial" w:cs="Arial"/>
          <w:b/>
          <w:bCs/>
          <w:sz w:val="28"/>
          <w:szCs w:val="28"/>
        </w:rPr>
      </w:pPr>
    </w:p>
    <w:p w:rsidR="00521574" w:rsidRPr="00504D8F" w:rsidRDefault="00521574" w:rsidP="00521574">
      <w:pPr>
        <w:autoSpaceDE w:val="0"/>
        <w:autoSpaceDN w:val="0"/>
        <w:adjustRightInd w:val="0"/>
        <w:spacing w:after="0" w:line="240" w:lineRule="auto"/>
        <w:rPr>
          <w:rFonts w:ascii="Tahoma" w:hAnsi="Tahoma" w:cs="Tahoma"/>
          <w:b/>
          <w:bCs/>
          <w:sz w:val="28"/>
          <w:szCs w:val="28"/>
        </w:rPr>
      </w:pPr>
      <w:r w:rsidRPr="00504D8F">
        <w:rPr>
          <w:rFonts w:ascii="Tahoma" w:hAnsi="Tahoma" w:cs="Tahoma"/>
          <w:b/>
          <w:bCs/>
          <w:sz w:val="28"/>
          <w:szCs w:val="28"/>
        </w:rPr>
        <w:t xml:space="preserve">2.0 </w:t>
      </w:r>
      <w:r w:rsidR="00866BF0">
        <w:rPr>
          <w:rFonts w:ascii="Tahoma" w:hAnsi="Tahoma" w:cs="Tahoma"/>
          <w:b/>
          <w:bCs/>
          <w:sz w:val="28"/>
          <w:szCs w:val="28"/>
        </w:rPr>
        <w:tab/>
      </w:r>
      <w:r w:rsidRPr="00504D8F">
        <w:rPr>
          <w:rFonts w:ascii="Tahoma" w:hAnsi="Tahoma" w:cs="Tahoma"/>
          <w:b/>
          <w:bCs/>
          <w:sz w:val="28"/>
          <w:szCs w:val="28"/>
        </w:rPr>
        <w:t xml:space="preserve">Regional </w:t>
      </w:r>
      <w:r w:rsidR="00E75DB8" w:rsidRPr="00504D8F">
        <w:rPr>
          <w:rFonts w:ascii="Tahoma" w:hAnsi="Tahoma" w:cs="Tahoma"/>
          <w:b/>
          <w:bCs/>
          <w:sz w:val="28"/>
          <w:szCs w:val="28"/>
        </w:rPr>
        <w:t xml:space="preserve">and Local </w:t>
      </w:r>
      <w:r w:rsidRPr="00504D8F">
        <w:rPr>
          <w:rFonts w:ascii="Tahoma" w:hAnsi="Tahoma" w:cs="Tahoma"/>
          <w:b/>
          <w:bCs/>
          <w:sz w:val="28"/>
          <w:szCs w:val="28"/>
        </w:rPr>
        <w:t>Policy Context</w:t>
      </w:r>
      <w:r w:rsidR="00EA2713">
        <w:rPr>
          <w:rFonts w:ascii="Tahoma" w:hAnsi="Tahoma" w:cs="Tahoma"/>
          <w:b/>
          <w:bCs/>
          <w:sz w:val="28"/>
          <w:szCs w:val="28"/>
        </w:rPr>
        <w:t xml:space="preserve"> </w:t>
      </w:r>
    </w:p>
    <w:p w:rsidR="00521574" w:rsidRDefault="00521574" w:rsidP="00521574">
      <w:pPr>
        <w:autoSpaceDE w:val="0"/>
        <w:autoSpaceDN w:val="0"/>
        <w:adjustRightInd w:val="0"/>
        <w:spacing w:after="0" w:line="240" w:lineRule="auto"/>
        <w:rPr>
          <w:rFonts w:ascii="Arial" w:hAnsi="Arial" w:cs="Arial"/>
          <w:b/>
          <w:bCs/>
          <w:sz w:val="24"/>
          <w:szCs w:val="24"/>
        </w:rPr>
      </w:pPr>
    </w:p>
    <w:p w:rsidR="00521574" w:rsidRPr="00504D8F" w:rsidRDefault="00521574"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 xml:space="preserve">2.1 </w:t>
      </w:r>
      <w:r w:rsidR="00866BF0">
        <w:rPr>
          <w:rFonts w:ascii="Tahoma" w:hAnsi="Tahoma" w:cs="Tahoma"/>
          <w:b/>
          <w:bCs/>
          <w:sz w:val="24"/>
          <w:szCs w:val="24"/>
        </w:rPr>
        <w:tab/>
      </w:r>
      <w:r w:rsidRPr="00504D8F">
        <w:rPr>
          <w:rFonts w:ascii="Tahoma" w:hAnsi="Tahoma" w:cs="Tahoma"/>
          <w:sz w:val="24"/>
          <w:szCs w:val="24"/>
        </w:rPr>
        <w:t>The Regional Policy Context is provided by the</w:t>
      </w:r>
      <w:r w:rsidR="00BF2DFF" w:rsidRPr="00504D8F">
        <w:rPr>
          <w:rFonts w:ascii="Tahoma" w:hAnsi="Tahoma" w:cs="Tahoma"/>
          <w:sz w:val="24"/>
          <w:szCs w:val="24"/>
        </w:rPr>
        <w:t xml:space="preserve"> NI Executive’s Economic Strategy and Sustainabl</w:t>
      </w:r>
      <w:r w:rsidR="006F0970" w:rsidRPr="00504D8F">
        <w:rPr>
          <w:rFonts w:ascii="Tahoma" w:hAnsi="Tahoma" w:cs="Tahoma"/>
          <w:sz w:val="24"/>
          <w:szCs w:val="24"/>
        </w:rPr>
        <w:t>e Development Strategy</w:t>
      </w:r>
      <w:r w:rsidR="00BF2DFF" w:rsidRPr="00504D8F">
        <w:rPr>
          <w:rFonts w:ascii="Tahoma" w:hAnsi="Tahoma" w:cs="Tahoma"/>
          <w:sz w:val="24"/>
          <w:szCs w:val="24"/>
        </w:rPr>
        <w:t xml:space="preserve">; the Department for Regional Development’s  Regional Development </w:t>
      </w:r>
      <w:r w:rsidRPr="00504D8F">
        <w:rPr>
          <w:rFonts w:ascii="Tahoma" w:hAnsi="Tahoma" w:cs="Tahoma"/>
          <w:sz w:val="24"/>
          <w:szCs w:val="24"/>
        </w:rPr>
        <w:t xml:space="preserve">Strategy </w:t>
      </w:r>
      <w:r w:rsidR="00C34726" w:rsidRPr="00504D8F">
        <w:rPr>
          <w:rFonts w:ascii="Tahoma" w:hAnsi="Tahoma" w:cs="Tahoma"/>
          <w:sz w:val="24"/>
          <w:szCs w:val="24"/>
        </w:rPr>
        <w:t xml:space="preserve">2035 </w:t>
      </w:r>
      <w:r w:rsidRPr="00504D8F">
        <w:rPr>
          <w:rFonts w:ascii="Tahoma" w:hAnsi="Tahoma" w:cs="Tahoma"/>
          <w:sz w:val="24"/>
          <w:szCs w:val="24"/>
        </w:rPr>
        <w:t xml:space="preserve">(RDS) and </w:t>
      </w:r>
      <w:r w:rsidR="006F0970" w:rsidRPr="00504D8F">
        <w:rPr>
          <w:rFonts w:ascii="Tahoma" w:hAnsi="Tahoma" w:cs="Tahoma"/>
          <w:sz w:val="24"/>
          <w:szCs w:val="24"/>
        </w:rPr>
        <w:t xml:space="preserve">the Department </w:t>
      </w:r>
      <w:r w:rsidR="00BF2DFF" w:rsidRPr="00504D8F">
        <w:rPr>
          <w:rFonts w:ascii="Tahoma" w:hAnsi="Tahoma" w:cs="Tahoma"/>
          <w:sz w:val="24"/>
          <w:szCs w:val="24"/>
        </w:rPr>
        <w:t xml:space="preserve">of the Environment’s </w:t>
      </w:r>
      <w:r w:rsidRPr="00504D8F">
        <w:rPr>
          <w:rFonts w:ascii="Tahoma" w:hAnsi="Tahoma" w:cs="Tahoma"/>
          <w:sz w:val="24"/>
          <w:szCs w:val="24"/>
        </w:rPr>
        <w:t xml:space="preserve">regional </w:t>
      </w:r>
      <w:r w:rsidR="00B87FE5" w:rsidRPr="00504D8F">
        <w:rPr>
          <w:rFonts w:ascii="Tahoma" w:hAnsi="Tahoma" w:cs="Tahoma"/>
          <w:sz w:val="24"/>
          <w:szCs w:val="24"/>
        </w:rPr>
        <w:t>P</w:t>
      </w:r>
      <w:r w:rsidRPr="00504D8F">
        <w:rPr>
          <w:rFonts w:ascii="Tahoma" w:hAnsi="Tahoma" w:cs="Tahoma"/>
          <w:sz w:val="24"/>
          <w:szCs w:val="24"/>
        </w:rPr>
        <w:t xml:space="preserve">lanning </w:t>
      </w:r>
      <w:r w:rsidR="00B87FE5" w:rsidRPr="00504D8F">
        <w:rPr>
          <w:rFonts w:ascii="Tahoma" w:hAnsi="Tahoma" w:cs="Tahoma"/>
          <w:sz w:val="24"/>
          <w:szCs w:val="24"/>
        </w:rPr>
        <w:t>P</w:t>
      </w:r>
      <w:r w:rsidRPr="00504D8F">
        <w:rPr>
          <w:rFonts w:ascii="Tahoma" w:hAnsi="Tahoma" w:cs="Tahoma"/>
          <w:sz w:val="24"/>
          <w:szCs w:val="24"/>
        </w:rPr>
        <w:t xml:space="preserve">olicy </w:t>
      </w:r>
      <w:r w:rsidR="00B87FE5" w:rsidRPr="00504D8F">
        <w:rPr>
          <w:rFonts w:ascii="Tahoma" w:hAnsi="Tahoma" w:cs="Tahoma"/>
          <w:sz w:val="24"/>
          <w:szCs w:val="24"/>
        </w:rPr>
        <w:t>S</w:t>
      </w:r>
      <w:r w:rsidRPr="00504D8F">
        <w:rPr>
          <w:rFonts w:ascii="Tahoma" w:hAnsi="Tahoma" w:cs="Tahoma"/>
          <w:sz w:val="24"/>
          <w:szCs w:val="24"/>
        </w:rPr>
        <w:t>tatements</w:t>
      </w:r>
      <w:r w:rsidR="00B87FE5" w:rsidRPr="00504D8F">
        <w:rPr>
          <w:rFonts w:ascii="Tahoma" w:hAnsi="Tahoma" w:cs="Tahoma"/>
          <w:sz w:val="24"/>
          <w:szCs w:val="24"/>
        </w:rPr>
        <w:t xml:space="preserve"> (PPSs)</w:t>
      </w:r>
      <w:r w:rsidRPr="00504D8F">
        <w:rPr>
          <w:rFonts w:ascii="Tahoma" w:hAnsi="Tahoma" w:cs="Tahoma"/>
          <w:sz w:val="24"/>
          <w:szCs w:val="24"/>
        </w:rPr>
        <w:t>. A summary of</w:t>
      </w:r>
      <w:r w:rsidR="00B87FE5" w:rsidRPr="00504D8F">
        <w:rPr>
          <w:rFonts w:ascii="Tahoma" w:hAnsi="Tahoma" w:cs="Tahoma"/>
          <w:sz w:val="24"/>
          <w:szCs w:val="24"/>
        </w:rPr>
        <w:t xml:space="preserve"> </w:t>
      </w:r>
      <w:r w:rsidRPr="00504D8F">
        <w:rPr>
          <w:rFonts w:ascii="Tahoma" w:hAnsi="Tahoma" w:cs="Tahoma"/>
          <w:sz w:val="24"/>
          <w:szCs w:val="24"/>
        </w:rPr>
        <w:t>these documents as they pertain to plan making and economic development</w:t>
      </w:r>
      <w:r w:rsidR="00B87FE5" w:rsidRPr="00504D8F">
        <w:rPr>
          <w:rFonts w:ascii="Tahoma" w:hAnsi="Tahoma" w:cs="Tahoma"/>
          <w:sz w:val="24"/>
          <w:szCs w:val="24"/>
        </w:rPr>
        <w:t xml:space="preserve"> </w:t>
      </w:r>
      <w:r w:rsidRPr="00504D8F">
        <w:rPr>
          <w:rFonts w:ascii="Tahoma" w:hAnsi="Tahoma" w:cs="Tahoma"/>
          <w:sz w:val="24"/>
          <w:szCs w:val="24"/>
        </w:rPr>
        <w:t>policy is provided in the following sections.</w:t>
      </w:r>
    </w:p>
    <w:p w:rsidR="00521574" w:rsidRDefault="00521574" w:rsidP="00521574">
      <w:pPr>
        <w:autoSpaceDE w:val="0"/>
        <w:autoSpaceDN w:val="0"/>
        <w:adjustRightInd w:val="0"/>
        <w:spacing w:after="0" w:line="240" w:lineRule="auto"/>
        <w:rPr>
          <w:rFonts w:ascii="Arial" w:hAnsi="Arial" w:cs="Arial"/>
          <w:b/>
          <w:bCs/>
          <w:sz w:val="24"/>
          <w:szCs w:val="24"/>
        </w:rPr>
      </w:pPr>
    </w:p>
    <w:p w:rsidR="00504D8F" w:rsidRDefault="00504D8F" w:rsidP="00521574">
      <w:pPr>
        <w:autoSpaceDE w:val="0"/>
        <w:autoSpaceDN w:val="0"/>
        <w:adjustRightInd w:val="0"/>
        <w:spacing w:after="0" w:line="240" w:lineRule="auto"/>
        <w:rPr>
          <w:rFonts w:ascii="Arial" w:hAnsi="Arial" w:cs="Arial"/>
          <w:b/>
          <w:bCs/>
          <w:sz w:val="24"/>
          <w:szCs w:val="24"/>
        </w:rPr>
      </w:pPr>
    </w:p>
    <w:p w:rsidR="00863977" w:rsidRPr="00504D8F" w:rsidRDefault="00863977" w:rsidP="00521574">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(a) The Northern Ireland Executive Economic Strategy: Priorities for Sustainable Growth and Prosperity</w:t>
      </w:r>
    </w:p>
    <w:p w:rsidR="00863977" w:rsidRPr="00504D8F" w:rsidRDefault="00863977" w:rsidP="00521574">
      <w:pPr>
        <w:autoSpaceDE w:val="0"/>
        <w:autoSpaceDN w:val="0"/>
        <w:adjustRightInd w:val="0"/>
        <w:spacing w:after="0" w:line="240" w:lineRule="auto"/>
        <w:rPr>
          <w:rFonts w:ascii="Tahoma" w:hAnsi="Tahoma" w:cs="Tahoma"/>
          <w:b/>
          <w:bCs/>
          <w:sz w:val="24"/>
          <w:szCs w:val="24"/>
        </w:rPr>
      </w:pPr>
    </w:p>
    <w:p w:rsidR="006F0970" w:rsidRPr="00504D8F" w:rsidRDefault="0019114F"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2.2</w:t>
      </w:r>
      <w:r w:rsidRPr="00504D8F">
        <w:rPr>
          <w:rFonts w:ascii="Tahoma" w:hAnsi="Tahoma" w:cs="Tahoma"/>
          <w:bCs/>
          <w:sz w:val="24"/>
          <w:szCs w:val="24"/>
        </w:rPr>
        <w:t xml:space="preserve"> </w:t>
      </w:r>
      <w:r w:rsidR="00866BF0">
        <w:rPr>
          <w:rFonts w:ascii="Tahoma" w:hAnsi="Tahoma" w:cs="Tahoma"/>
          <w:bCs/>
          <w:sz w:val="24"/>
          <w:szCs w:val="24"/>
        </w:rPr>
        <w:tab/>
      </w:r>
      <w:r w:rsidR="00863977" w:rsidRPr="00504D8F">
        <w:rPr>
          <w:rFonts w:ascii="Tahoma" w:hAnsi="Tahoma" w:cs="Tahoma"/>
          <w:bCs/>
          <w:sz w:val="24"/>
          <w:szCs w:val="24"/>
        </w:rPr>
        <w:t>The N</w:t>
      </w:r>
      <w:r w:rsidR="00B87FE5" w:rsidRPr="00504D8F">
        <w:rPr>
          <w:rFonts w:ascii="Tahoma" w:hAnsi="Tahoma" w:cs="Tahoma"/>
          <w:bCs/>
          <w:sz w:val="24"/>
          <w:szCs w:val="24"/>
        </w:rPr>
        <w:t>I</w:t>
      </w:r>
      <w:r w:rsidR="00863977" w:rsidRPr="00504D8F">
        <w:rPr>
          <w:rFonts w:ascii="Tahoma" w:hAnsi="Tahoma" w:cs="Tahoma"/>
          <w:bCs/>
          <w:sz w:val="24"/>
          <w:szCs w:val="24"/>
        </w:rPr>
        <w:t xml:space="preserve"> </w:t>
      </w:r>
      <w:r w:rsidR="00B87FE5" w:rsidRPr="00504D8F">
        <w:rPr>
          <w:rFonts w:ascii="Tahoma" w:hAnsi="Tahoma" w:cs="Tahoma"/>
          <w:bCs/>
          <w:sz w:val="24"/>
          <w:szCs w:val="24"/>
        </w:rPr>
        <w:t xml:space="preserve">Executive </w:t>
      </w:r>
      <w:r w:rsidR="00863977" w:rsidRPr="00504D8F">
        <w:rPr>
          <w:rFonts w:ascii="Tahoma" w:hAnsi="Tahoma" w:cs="Tahoma"/>
          <w:bCs/>
          <w:sz w:val="24"/>
          <w:szCs w:val="24"/>
        </w:rPr>
        <w:t>Economic Strategy was published by the Department for Enterprise, Trade and Investment in March 2012. The overarching goal of the Strategy is to improve the economic competiveness of the NI economy</w:t>
      </w:r>
      <w:r w:rsidR="006F0970" w:rsidRPr="00504D8F">
        <w:rPr>
          <w:rFonts w:ascii="Tahoma" w:hAnsi="Tahoma" w:cs="Tahoma"/>
          <w:bCs/>
          <w:sz w:val="24"/>
          <w:szCs w:val="24"/>
        </w:rPr>
        <w:t xml:space="preserve"> by creating a larger more export driven private sector.  In order to achieve </w:t>
      </w:r>
      <w:proofErr w:type="gramStart"/>
      <w:r w:rsidR="006F0970" w:rsidRPr="00504D8F">
        <w:rPr>
          <w:rFonts w:ascii="Tahoma" w:hAnsi="Tahoma" w:cs="Tahoma"/>
          <w:bCs/>
          <w:sz w:val="24"/>
          <w:szCs w:val="24"/>
        </w:rPr>
        <w:t>this the</w:t>
      </w:r>
      <w:proofErr w:type="gramEnd"/>
      <w:r w:rsidR="006F0970" w:rsidRPr="00504D8F">
        <w:rPr>
          <w:rFonts w:ascii="Tahoma" w:hAnsi="Tahoma" w:cs="Tahoma"/>
          <w:bCs/>
          <w:sz w:val="24"/>
          <w:szCs w:val="24"/>
        </w:rPr>
        <w:t xml:space="preserve"> Executive plans to:</w:t>
      </w:r>
    </w:p>
    <w:p w:rsidR="006F0970" w:rsidRPr="00504D8F" w:rsidRDefault="006F0970" w:rsidP="006F0970">
      <w:pPr>
        <w:pStyle w:val="ListParagraph"/>
        <w:numPr>
          <w:ilvl w:val="0"/>
          <w:numId w:val="3"/>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 xml:space="preserve">stimulate innovation, </w:t>
      </w:r>
      <w:r w:rsidR="00863977" w:rsidRPr="00504D8F">
        <w:rPr>
          <w:rFonts w:ascii="Tahoma" w:hAnsi="Tahoma" w:cs="Tahoma"/>
          <w:bCs/>
          <w:sz w:val="24"/>
          <w:szCs w:val="24"/>
        </w:rPr>
        <w:t xml:space="preserve">research and development, </w:t>
      </w:r>
      <w:r w:rsidRPr="00504D8F">
        <w:rPr>
          <w:rFonts w:ascii="Tahoma" w:hAnsi="Tahoma" w:cs="Tahoma"/>
          <w:bCs/>
          <w:sz w:val="24"/>
          <w:szCs w:val="24"/>
        </w:rPr>
        <w:t>and creativity to widen and deepen our export base;</w:t>
      </w:r>
    </w:p>
    <w:p w:rsidR="006F0970" w:rsidRPr="00504D8F" w:rsidRDefault="006F0970" w:rsidP="006F0970">
      <w:pPr>
        <w:pStyle w:val="ListParagraph"/>
        <w:numPr>
          <w:ilvl w:val="0"/>
          <w:numId w:val="3"/>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improve the skills and employability of the entire workforce;</w:t>
      </w:r>
    </w:p>
    <w:p w:rsidR="006F0970" w:rsidRPr="00504D8F" w:rsidRDefault="006F0970" w:rsidP="006F0970">
      <w:pPr>
        <w:pStyle w:val="ListParagraph"/>
        <w:numPr>
          <w:ilvl w:val="0"/>
          <w:numId w:val="3"/>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encourage business growth and increase the potential of our local companies, including social and rural economies;</w:t>
      </w:r>
      <w:r w:rsidR="00AD2074" w:rsidRPr="00504D8F">
        <w:rPr>
          <w:rFonts w:ascii="Tahoma" w:hAnsi="Tahoma" w:cs="Tahoma"/>
          <w:bCs/>
          <w:sz w:val="24"/>
          <w:szCs w:val="24"/>
        </w:rPr>
        <w:t xml:space="preserve"> </w:t>
      </w:r>
      <w:r w:rsidRPr="00504D8F">
        <w:rPr>
          <w:rFonts w:ascii="Tahoma" w:hAnsi="Tahoma" w:cs="Tahoma"/>
          <w:bCs/>
          <w:sz w:val="24"/>
          <w:szCs w:val="24"/>
        </w:rPr>
        <w:t>and</w:t>
      </w:r>
    </w:p>
    <w:p w:rsidR="00863977" w:rsidRPr="00504D8F" w:rsidRDefault="006F0970" w:rsidP="006F0970">
      <w:pPr>
        <w:pStyle w:val="ListParagraph"/>
        <w:numPr>
          <w:ilvl w:val="0"/>
          <w:numId w:val="3"/>
        </w:numPr>
        <w:autoSpaceDE w:val="0"/>
        <w:autoSpaceDN w:val="0"/>
        <w:adjustRightInd w:val="0"/>
        <w:spacing w:after="0" w:line="240" w:lineRule="auto"/>
        <w:rPr>
          <w:rFonts w:ascii="Tahoma" w:hAnsi="Tahoma" w:cs="Tahoma"/>
          <w:bCs/>
          <w:sz w:val="24"/>
          <w:szCs w:val="24"/>
        </w:rPr>
      </w:pPr>
      <w:proofErr w:type="gramStart"/>
      <w:r w:rsidRPr="00504D8F">
        <w:rPr>
          <w:rFonts w:ascii="Tahoma" w:hAnsi="Tahoma" w:cs="Tahoma"/>
          <w:bCs/>
          <w:sz w:val="24"/>
          <w:szCs w:val="24"/>
        </w:rPr>
        <w:t>e</w:t>
      </w:r>
      <w:r w:rsidR="00863977" w:rsidRPr="00504D8F">
        <w:rPr>
          <w:rFonts w:ascii="Tahoma" w:hAnsi="Tahoma" w:cs="Tahoma"/>
          <w:bCs/>
          <w:sz w:val="24"/>
          <w:szCs w:val="24"/>
        </w:rPr>
        <w:t>stablishing</w:t>
      </w:r>
      <w:proofErr w:type="gramEnd"/>
      <w:r w:rsidR="00863977" w:rsidRPr="00504D8F">
        <w:rPr>
          <w:rFonts w:ascii="Tahoma" w:hAnsi="Tahoma" w:cs="Tahoma"/>
          <w:bCs/>
          <w:sz w:val="24"/>
          <w:szCs w:val="24"/>
        </w:rPr>
        <w:t xml:space="preserve"> a </w:t>
      </w:r>
      <w:r w:rsidRPr="00504D8F">
        <w:rPr>
          <w:rFonts w:ascii="Tahoma" w:hAnsi="Tahoma" w:cs="Tahoma"/>
          <w:bCs/>
          <w:sz w:val="24"/>
          <w:szCs w:val="24"/>
        </w:rPr>
        <w:t xml:space="preserve">modern and </w:t>
      </w:r>
      <w:r w:rsidR="00863977" w:rsidRPr="00504D8F">
        <w:rPr>
          <w:rFonts w:ascii="Tahoma" w:hAnsi="Tahoma" w:cs="Tahoma"/>
          <w:bCs/>
          <w:sz w:val="24"/>
          <w:szCs w:val="24"/>
        </w:rPr>
        <w:t>sustainable economic infrastructure</w:t>
      </w:r>
      <w:r w:rsidRPr="00504D8F">
        <w:rPr>
          <w:rFonts w:ascii="Tahoma" w:hAnsi="Tahoma" w:cs="Tahoma"/>
          <w:bCs/>
          <w:sz w:val="24"/>
          <w:szCs w:val="24"/>
        </w:rPr>
        <w:t xml:space="preserve"> that supports economic growth. </w:t>
      </w:r>
      <w:r w:rsidR="00863977" w:rsidRPr="00504D8F">
        <w:rPr>
          <w:rFonts w:ascii="Tahoma" w:hAnsi="Tahoma" w:cs="Tahoma"/>
          <w:bCs/>
          <w:sz w:val="24"/>
          <w:szCs w:val="24"/>
        </w:rPr>
        <w:t xml:space="preserve"> </w:t>
      </w:r>
    </w:p>
    <w:p w:rsidR="003F20C9" w:rsidRDefault="003F20C9" w:rsidP="003F20C9">
      <w:pPr>
        <w:pStyle w:val="ListParagraph"/>
        <w:autoSpaceDE w:val="0"/>
        <w:autoSpaceDN w:val="0"/>
        <w:adjustRightInd w:val="0"/>
        <w:spacing w:after="0" w:line="240" w:lineRule="auto"/>
        <w:rPr>
          <w:rFonts w:ascii="Arial" w:hAnsi="Arial" w:cs="Arial"/>
          <w:bCs/>
          <w:sz w:val="24"/>
          <w:szCs w:val="24"/>
        </w:rPr>
      </w:pPr>
    </w:p>
    <w:p w:rsidR="00504D8F" w:rsidRDefault="00504D8F" w:rsidP="003F20C9">
      <w:pPr>
        <w:pStyle w:val="ListParagraph"/>
        <w:autoSpaceDE w:val="0"/>
        <w:autoSpaceDN w:val="0"/>
        <w:adjustRightInd w:val="0"/>
        <w:spacing w:after="0" w:line="240" w:lineRule="auto"/>
        <w:rPr>
          <w:rFonts w:ascii="Arial" w:hAnsi="Arial" w:cs="Arial"/>
          <w:bCs/>
          <w:sz w:val="24"/>
          <w:szCs w:val="24"/>
        </w:rPr>
      </w:pPr>
    </w:p>
    <w:p w:rsidR="00C37958" w:rsidRDefault="00C37958" w:rsidP="003F20C9">
      <w:pPr>
        <w:pStyle w:val="ListParagraph"/>
        <w:autoSpaceDE w:val="0"/>
        <w:autoSpaceDN w:val="0"/>
        <w:adjustRightInd w:val="0"/>
        <w:spacing w:after="0" w:line="240" w:lineRule="auto"/>
        <w:rPr>
          <w:rFonts w:ascii="Arial" w:hAnsi="Arial" w:cs="Arial"/>
          <w:bCs/>
          <w:sz w:val="24"/>
          <w:szCs w:val="24"/>
        </w:rPr>
      </w:pPr>
    </w:p>
    <w:p w:rsidR="00C37958" w:rsidRDefault="00C37958" w:rsidP="003F20C9">
      <w:pPr>
        <w:pStyle w:val="ListParagraph"/>
        <w:autoSpaceDE w:val="0"/>
        <w:autoSpaceDN w:val="0"/>
        <w:adjustRightInd w:val="0"/>
        <w:spacing w:after="0" w:line="240" w:lineRule="auto"/>
        <w:rPr>
          <w:rFonts w:ascii="Arial" w:hAnsi="Arial" w:cs="Arial"/>
          <w:bCs/>
          <w:sz w:val="24"/>
          <w:szCs w:val="24"/>
        </w:rPr>
      </w:pPr>
    </w:p>
    <w:p w:rsidR="00C37958" w:rsidRDefault="00C37958" w:rsidP="003F20C9">
      <w:pPr>
        <w:pStyle w:val="ListParagraph"/>
        <w:autoSpaceDE w:val="0"/>
        <w:autoSpaceDN w:val="0"/>
        <w:adjustRightInd w:val="0"/>
        <w:spacing w:after="0" w:line="240" w:lineRule="auto"/>
        <w:rPr>
          <w:rFonts w:ascii="Arial" w:hAnsi="Arial" w:cs="Arial"/>
          <w:bCs/>
          <w:sz w:val="24"/>
          <w:szCs w:val="24"/>
        </w:rPr>
      </w:pPr>
    </w:p>
    <w:p w:rsidR="00C37958" w:rsidRDefault="00C37958" w:rsidP="003F20C9">
      <w:pPr>
        <w:pStyle w:val="ListParagraph"/>
        <w:autoSpaceDE w:val="0"/>
        <w:autoSpaceDN w:val="0"/>
        <w:adjustRightInd w:val="0"/>
        <w:spacing w:after="0" w:line="240" w:lineRule="auto"/>
        <w:rPr>
          <w:rFonts w:ascii="Arial" w:hAnsi="Arial" w:cs="Arial"/>
          <w:bCs/>
          <w:sz w:val="24"/>
          <w:szCs w:val="24"/>
        </w:rPr>
      </w:pPr>
    </w:p>
    <w:p w:rsidR="00C37958" w:rsidRPr="006F0970" w:rsidRDefault="00C37958" w:rsidP="003F20C9">
      <w:pPr>
        <w:pStyle w:val="ListParagraph"/>
        <w:autoSpaceDE w:val="0"/>
        <w:autoSpaceDN w:val="0"/>
        <w:adjustRightInd w:val="0"/>
        <w:spacing w:after="0" w:line="240" w:lineRule="auto"/>
        <w:rPr>
          <w:rFonts w:ascii="Arial" w:hAnsi="Arial" w:cs="Arial"/>
          <w:bCs/>
          <w:sz w:val="24"/>
          <w:szCs w:val="24"/>
        </w:rPr>
      </w:pPr>
    </w:p>
    <w:p w:rsidR="00521574" w:rsidRPr="00504D8F" w:rsidRDefault="00863977" w:rsidP="00521574">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lastRenderedPageBreak/>
        <w:t>(b</w:t>
      </w:r>
      <w:r w:rsidR="00521574" w:rsidRPr="00504D8F">
        <w:rPr>
          <w:rFonts w:ascii="Tahoma" w:hAnsi="Tahoma" w:cs="Tahoma"/>
          <w:b/>
          <w:bCs/>
          <w:sz w:val="24"/>
          <w:szCs w:val="24"/>
        </w:rPr>
        <w:t>) Regional Development Strategy</w:t>
      </w:r>
      <w:r w:rsidR="00EA2713">
        <w:rPr>
          <w:rFonts w:ascii="Tahoma" w:hAnsi="Tahoma" w:cs="Tahoma"/>
          <w:b/>
          <w:bCs/>
          <w:sz w:val="24"/>
          <w:szCs w:val="24"/>
        </w:rPr>
        <w:t xml:space="preserve"> </w:t>
      </w:r>
      <w:r w:rsidR="00C37958">
        <w:rPr>
          <w:rFonts w:ascii="Tahoma" w:hAnsi="Tahoma" w:cs="Tahoma"/>
          <w:b/>
          <w:bCs/>
          <w:sz w:val="24"/>
          <w:szCs w:val="24"/>
        </w:rPr>
        <w:t xml:space="preserve">2035 </w:t>
      </w:r>
      <w:r w:rsidR="00EA2713">
        <w:rPr>
          <w:rFonts w:ascii="Tahoma" w:hAnsi="Tahoma" w:cs="Tahoma"/>
          <w:b/>
          <w:bCs/>
          <w:sz w:val="24"/>
          <w:szCs w:val="24"/>
        </w:rPr>
        <w:t>(RDS)</w:t>
      </w:r>
    </w:p>
    <w:p w:rsidR="00521574" w:rsidRPr="00504D8F" w:rsidRDefault="00521574" w:rsidP="00521574">
      <w:pPr>
        <w:autoSpaceDE w:val="0"/>
        <w:autoSpaceDN w:val="0"/>
        <w:adjustRightInd w:val="0"/>
        <w:spacing w:after="0" w:line="240" w:lineRule="auto"/>
        <w:rPr>
          <w:rFonts w:ascii="Tahoma" w:hAnsi="Tahoma" w:cs="Tahoma"/>
          <w:b/>
          <w:bCs/>
          <w:sz w:val="24"/>
          <w:szCs w:val="24"/>
        </w:rPr>
      </w:pPr>
    </w:p>
    <w:p w:rsidR="00521574"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2.3</w:t>
      </w:r>
      <w:r w:rsidR="00521574" w:rsidRPr="00504D8F">
        <w:rPr>
          <w:rFonts w:ascii="Tahoma" w:hAnsi="Tahoma" w:cs="Tahoma"/>
          <w:b/>
          <w:bCs/>
          <w:sz w:val="24"/>
          <w:szCs w:val="24"/>
        </w:rPr>
        <w:t xml:space="preserve"> </w:t>
      </w:r>
      <w:r w:rsidR="00866BF0">
        <w:rPr>
          <w:rFonts w:ascii="Tahoma" w:hAnsi="Tahoma" w:cs="Tahoma"/>
          <w:b/>
          <w:bCs/>
          <w:sz w:val="24"/>
          <w:szCs w:val="24"/>
        </w:rPr>
        <w:tab/>
      </w:r>
      <w:r w:rsidR="00EA2713">
        <w:rPr>
          <w:rFonts w:ascii="Tahoma" w:hAnsi="Tahoma" w:cs="Tahoma"/>
          <w:sz w:val="24"/>
          <w:szCs w:val="24"/>
        </w:rPr>
        <w:t xml:space="preserve">The RDS </w:t>
      </w:r>
      <w:r w:rsidR="00521574" w:rsidRPr="00504D8F">
        <w:rPr>
          <w:rFonts w:ascii="Tahoma" w:hAnsi="Tahoma" w:cs="Tahoma"/>
          <w:sz w:val="24"/>
          <w:szCs w:val="24"/>
        </w:rPr>
        <w:t>provides a framework for strong sustainable economic growth</w:t>
      </w:r>
      <w:r w:rsidR="008E411D">
        <w:rPr>
          <w:rFonts w:ascii="Tahoma" w:hAnsi="Tahoma" w:cs="Tahoma"/>
          <w:sz w:val="24"/>
          <w:szCs w:val="24"/>
        </w:rPr>
        <w:t xml:space="preserve"> </w:t>
      </w:r>
      <w:r w:rsidR="00521574" w:rsidRPr="00504D8F">
        <w:rPr>
          <w:rFonts w:ascii="Tahoma" w:hAnsi="Tahoma" w:cs="Tahoma"/>
          <w:sz w:val="24"/>
          <w:szCs w:val="24"/>
        </w:rPr>
        <w:t>across the region and recognises that a growing regional economy needs a</w:t>
      </w:r>
      <w:r w:rsidR="00435847">
        <w:rPr>
          <w:rFonts w:ascii="Tahoma" w:hAnsi="Tahoma" w:cs="Tahoma"/>
          <w:sz w:val="24"/>
          <w:szCs w:val="24"/>
        </w:rPr>
        <w:t xml:space="preserve"> </w:t>
      </w:r>
      <w:r w:rsidR="00521574" w:rsidRPr="00504D8F">
        <w:rPr>
          <w:rFonts w:ascii="Tahoma" w:hAnsi="Tahoma" w:cs="Tahoma"/>
          <w:sz w:val="24"/>
          <w:szCs w:val="24"/>
        </w:rPr>
        <w:t>co-ordinated approach to the provision of services, jobs and infrastructure. It</w:t>
      </w:r>
      <w:r w:rsidR="00435847">
        <w:rPr>
          <w:rFonts w:ascii="Tahoma" w:hAnsi="Tahoma" w:cs="Tahoma"/>
          <w:sz w:val="24"/>
          <w:szCs w:val="24"/>
        </w:rPr>
        <w:t xml:space="preserve"> </w:t>
      </w:r>
      <w:r w:rsidR="00521574" w:rsidRPr="00504D8F">
        <w:rPr>
          <w:rFonts w:ascii="Tahoma" w:hAnsi="Tahoma" w:cs="Tahoma"/>
          <w:sz w:val="24"/>
          <w:szCs w:val="24"/>
        </w:rPr>
        <w:t>provides Regional Guidance to ensure an adequate supply of land to facilitate</w:t>
      </w:r>
      <w:r w:rsidR="00435847">
        <w:rPr>
          <w:rFonts w:ascii="Tahoma" w:hAnsi="Tahoma" w:cs="Tahoma"/>
          <w:sz w:val="24"/>
          <w:szCs w:val="24"/>
        </w:rPr>
        <w:t xml:space="preserve"> </w:t>
      </w:r>
      <w:r w:rsidR="00521574" w:rsidRPr="00504D8F">
        <w:rPr>
          <w:rFonts w:ascii="Tahoma" w:hAnsi="Tahoma" w:cs="Tahoma"/>
          <w:sz w:val="24"/>
          <w:szCs w:val="24"/>
        </w:rPr>
        <w:t>sustainable economic growth (RG 1). Land should be accessible and located</w:t>
      </w:r>
      <w:r w:rsidR="00435847">
        <w:rPr>
          <w:rFonts w:ascii="Tahoma" w:hAnsi="Tahoma" w:cs="Tahoma"/>
          <w:sz w:val="24"/>
          <w:szCs w:val="24"/>
        </w:rPr>
        <w:t xml:space="preserve"> </w:t>
      </w:r>
      <w:r w:rsidR="00521574" w:rsidRPr="00504D8F">
        <w:rPr>
          <w:rFonts w:ascii="Tahoma" w:hAnsi="Tahoma" w:cs="Tahoma"/>
          <w:sz w:val="24"/>
          <w:szCs w:val="24"/>
        </w:rPr>
        <w:t>to make the best use of available services, for example water and sewerage</w:t>
      </w:r>
      <w:r w:rsidR="00435847">
        <w:rPr>
          <w:rFonts w:ascii="Tahoma" w:hAnsi="Tahoma" w:cs="Tahoma"/>
          <w:sz w:val="24"/>
          <w:szCs w:val="24"/>
        </w:rPr>
        <w:t xml:space="preserve"> </w:t>
      </w:r>
      <w:r w:rsidR="00521574" w:rsidRPr="00504D8F">
        <w:rPr>
          <w:rFonts w:ascii="Tahoma" w:hAnsi="Tahoma" w:cs="Tahoma"/>
          <w:sz w:val="24"/>
          <w:szCs w:val="24"/>
        </w:rPr>
        <w:t>infrastructure, whilst avoiding, where possible,</w:t>
      </w:r>
      <w:r w:rsidR="008E411D">
        <w:rPr>
          <w:rFonts w:ascii="Tahoma" w:hAnsi="Tahoma" w:cs="Tahoma"/>
          <w:sz w:val="24"/>
          <w:szCs w:val="24"/>
        </w:rPr>
        <w:t xml:space="preserve"> areas at risk of flooding from </w:t>
      </w:r>
      <w:r w:rsidR="00521574" w:rsidRPr="00504D8F">
        <w:rPr>
          <w:rFonts w:ascii="Tahoma" w:hAnsi="Tahoma" w:cs="Tahoma"/>
          <w:sz w:val="24"/>
          <w:szCs w:val="24"/>
        </w:rPr>
        <w:t>rivers, the sea or surface water run-off.</w:t>
      </w:r>
    </w:p>
    <w:p w:rsidR="00521574" w:rsidRPr="00504D8F" w:rsidRDefault="00521574" w:rsidP="00521574">
      <w:pPr>
        <w:autoSpaceDE w:val="0"/>
        <w:autoSpaceDN w:val="0"/>
        <w:adjustRightInd w:val="0"/>
        <w:spacing w:after="0" w:line="240" w:lineRule="auto"/>
        <w:rPr>
          <w:rFonts w:ascii="Tahoma" w:hAnsi="Tahoma" w:cs="Tahoma"/>
          <w:b/>
          <w:bCs/>
          <w:sz w:val="24"/>
          <w:szCs w:val="24"/>
        </w:rPr>
      </w:pPr>
    </w:p>
    <w:p w:rsidR="00521574"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2.4</w:t>
      </w:r>
      <w:r w:rsidR="00521574" w:rsidRPr="00504D8F">
        <w:rPr>
          <w:rFonts w:ascii="Tahoma" w:hAnsi="Tahoma" w:cs="Tahoma"/>
          <w:b/>
          <w:bCs/>
          <w:sz w:val="24"/>
          <w:szCs w:val="24"/>
        </w:rPr>
        <w:t xml:space="preserve"> </w:t>
      </w:r>
      <w:r w:rsidR="00866BF0">
        <w:rPr>
          <w:rFonts w:ascii="Tahoma" w:hAnsi="Tahoma" w:cs="Tahoma"/>
          <w:b/>
          <w:bCs/>
          <w:sz w:val="24"/>
          <w:szCs w:val="24"/>
        </w:rPr>
        <w:tab/>
      </w:r>
      <w:r w:rsidR="00521574" w:rsidRPr="00504D8F">
        <w:rPr>
          <w:rFonts w:ascii="Tahoma" w:hAnsi="Tahoma" w:cs="Tahoma"/>
          <w:sz w:val="24"/>
          <w:szCs w:val="24"/>
        </w:rPr>
        <w:t xml:space="preserve">The </w:t>
      </w:r>
      <w:r w:rsidR="00F17E53" w:rsidRPr="00504D8F">
        <w:rPr>
          <w:rFonts w:ascii="Tahoma" w:hAnsi="Tahoma" w:cs="Tahoma"/>
          <w:sz w:val="24"/>
          <w:szCs w:val="24"/>
        </w:rPr>
        <w:t xml:space="preserve">RDS notes that a system to monitor the take-up (and loss) of employment land is required to help inform planning and investment decisions and actions. It therefore provides an Employment Land Evaluation </w:t>
      </w:r>
      <w:r w:rsidR="00521574" w:rsidRPr="00504D8F">
        <w:rPr>
          <w:rFonts w:ascii="Tahoma" w:hAnsi="Tahoma" w:cs="Tahoma"/>
          <w:sz w:val="24"/>
          <w:szCs w:val="24"/>
        </w:rPr>
        <w:t>F</w:t>
      </w:r>
      <w:r w:rsidR="00F17E53" w:rsidRPr="00504D8F">
        <w:rPr>
          <w:rFonts w:ascii="Tahoma" w:hAnsi="Tahoma" w:cs="Tahoma"/>
          <w:sz w:val="24"/>
          <w:szCs w:val="24"/>
        </w:rPr>
        <w:t xml:space="preserve">ramework (see Appendix A) to identify </w:t>
      </w:r>
      <w:r w:rsidR="00521574" w:rsidRPr="00504D8F">
        <w:rPr>
          <w:rFonts w:ascii="Tahoma" w:hAnsi="Tahoma" w:cs="Tahoma"/>
          <w:sz w:val="24"/>
          <w:szCs w:val="24"/>
        </w:rPr>
        <w:t xml:space="preserve">robust and defensible portfolios of both </w:t>
      </w:r>
      <w:r w:rsidR="008E411D">
        <w:rPr>
          <w:rFonts w:ascii="Tahoma" w:hAnsi="Tahoma" w:cs="Tahoma"/>
          <w:sz w:val="24"/>
          <w:szCs w:val="24"/>
        </w:rPr>
        <w:t xml:space="preserve">strategic and locally important </w:t>
      </w:r>
      <w:r w:rsidR="00521574" w:rsidRPr="00504D8F">
        <w:rPr>
          <w:rFonts w:ascii="Tahoma" w:hAnsi="Tahoma" w:cs="Tahoma"/>
          <w:sz w:val="24"/>
          <w:szCs w:val="24"/>
        </w:rPr>
        <w:t xml:space="preserve">employment </w:t>
      </w:r>
      <w:r w:rsidR="00F17E53" w:rsidRPr="00504D8F">
        <w:rPr>
          <w:rFonts w:ascii="Tahoma" w:hAnsi="Tahoma" w:cs="Tahoma"/>
          <w:sz w:val="24"/>
          <w:szCs w:val="24"/>
        </w:rPr>
        <w:t>sites in Local Development Plans</w:t>
      </w:r>
      <w:r w:rsidR="008E411D">
        <w:rPr>
          <w:rFonts w:ascii="Tahoma" w:hAnsi="Tahoma" w:cs="Tahoma"/>
          <w:sz w:val="24"/>
          <w:szCs w:val="24"/>
        </w:rPr>
        <w:t xml:space="preserve">. This means protecting zoned </w:t>
      </w:r>
      <w:r w:rsidR="00521574" w:rsidRPr="00504D8F">
        <w:rPr>
          <w:rFonts w:ascii="Tahoma" w:hAnsi="Tahoma" w:cs="Tahoma"/>
          <w:sz w:val="24"/>
          <w:szCs w:val="24"/>
        </w:rPr>
        <w:t>land in development plans and, in order to capitalise on the development</w:t>
      </w:r>
      <w:r w:rsidR="00435847">
        <w:rPr>
          <w:rFonts w:ascii="Tahoma" w:hAnsi="Tahoma" w:cs="Tahoma"/>
          <w:sz w:val="24"/>
          <w:szCs w:val="24"/>
        </w:rPr>
        <w:t xml:space="preserve"> </w:t>
      </w:r>
      <w:r w:rsidR="00521574" w:rsidRPr="00504D8F">
        <w:rPr>
          <w:rFonts w:ascii="Tahoma" w:hAnsi="Tahoma" w:cs="Tahoma"/>
          <w:sz w:val="24"/>
          <w:szCs w:val="24"/>
        </w:rPr>
        <w:t>opportunity provided by a concentration of people, goods, a</w:t>
      </w:r>
      <w:r w:rsidR="008E411D">
        <w:rPr>
          <w:rFonts w:ascii="Tahoma" w:hAnsi="Tahoma" w:cs="Tahoma"/>
          <w:sz w:val="24"/>
          <w:szCs w:val="24"/>
        </w:rPr>
        <w:t xml:space="preserve">vailable </w:t>
      </w:r>
      <w:r w:rsidR="00521574" w:rsidRPr="00504D8F">
        <w:rPr>
          <w:rFonts w:ascii="Tahoma" w:hAnsi="Tahoma" w:cs="Tahoma"/>
          <w:sz w:val="24"/>
          <w:szCs w:val="24"/>
        </w:rPr>
        <w:t>infrastructure and business, promoting eco</w:t>
      </w:r>
      <w:r w:rsidR="008E411D">
        <w:rPr>
          <w:rFonts w:ascii="Tahoma" w:hAnsi="Tahoma" w:cs="Tahoma"/>
          <w:sz w:val="24"/>
          <w:szCs w:val="24"/>
        </w:rPr>
        <w:t xml:space="preserve">nomic development opportunities </w:t>
      </w:r>
      <w:r w:rsidR="009E537D" w:rsidRPr="00504D8F">
        <w:rPr>
          <w:rFonts w:ascii="Tahoma" w:hAnsi="Tahoma" w:cs="Tahoma"/>
          <w:sz w:val="24"/>
          <w:szCs w:val="24"/>
        </w:rPr>
        <w:t>in the h</w:t>
      </w:r>
      <w:r w:rsidR="00521574" w:rsidRPr="00504D8F">
        <w:rPr>
          <w:rFonts w:ascii="Tahoma" w:hAnsi="Tahoma" w:cs="Tahoma"/>
          <w:sz w:val="24"/>
          <w:szCs w:val="24"/>
        </w:rPr>
        <w:t>ubs</w:t>
      </w:r>
      <w:r w:rsidR="009E537D" w:rsidRPr="00504D8F">
        <w:rPr>
          <w:rStyle w:val="FootnoteReference"/>
          <w:rFonts w:ascii="Tahoma" w:hAnsi="Tahoma" w:cs="Tahoma"/>
          <w:sz w:val="24"/>
          <w:szCs w:val="24"/>
        </w:rPr>
        <w:footnoteReference w:id="1"/>
      </w:r>
      <w:r w:rsidR="00521574" w:rsidRPr="00504D8F">
        <w:rPr>
          <w:rFonts w:ascii="Tahoma" w:hAnsi="Tahoma" w:cs="Tahoma"/>
          <w:sz w:val="24"/>
          <w:szCs w:val="24"/>
        </w:rPr>
        <w:t xml:space="preserve"> (SFG11). It also recognises the importance of sustaining rural</w:t>
      </w:r>
      <w:r w:rsidR="00B87FE5" w:rsidRPr="00504D8F">
        <w:rPr>
          <w:rFonts w:ascii="Tahoma" w:hAnsi="Tahoma" w:cs="Tahoma"/>
          <w:sz w:val="24"/>
          <w:szCs w:val="24"/>
        </w:rPr>
        <w:t xml:space="preserve"> </w:t>
      </w:r>
      <w:r w:rsidR="00521574" w:rsidRPr="00504D8F">
        <w:rPr>
          <w:rFonts w:ascii="Tahoma" w:hAnsi="Tahoma" w:cs="Tahoma"/>
          <w:sz w:val="24"/>
          <w:szCs w:val="24"/>
        </w:rPr>
        <w:t xml:space="preserve">communities by facilitating rural industries, business and enterprises in </w:t>
      </w:r>
      <w:r w:rsidR="00261D78" w:rsidRPr="00504D8F">
        <w:rPr>
          <w:rFonts w:ascii="Tahoma" w:hAnsi="Tahoma" w:cs="Tahoma"/>
          <w:sz w:val="24"/>
          <w:szCs w:val="24"/>
        </w:rPr>
        <w:t>a</w:t>
      </w:r>
      <w:r w:rsidR="00521574" w:rsidRPr="00504D8F">
        <w:rPr>
          <w:rFonts w:ascii="Tahoma" w:hAnsi="Tahoma" w:cs="Tahoma"/>
          <w:sz w:val="24"/>
          <w:szCs w:val="24"/>
        </w:rPr>
        <w:t>ppropriate locations. This means no</w:t>
      </w:r>
      <w:r w:rsidR="00C34726" w:rsidRPr="00504D8F">
        <w:rPr>
          <w:rFonts w:ascii="Tahoma" w:hAnsi="Tahoma" w:cs="Tahoma"/>
          <w:sz w:val="24"/>
          <w:szCs w:val="24"/>
        </w:rPr>
        <w:t>t</w:t>
      </w:r>
      <w:r w:rsidR="00521574" w:rsidRPr="00504D8F">
        <w:rPr>
          <w:rFonts w:ascii="Tahoma" w:hAnsi="Tahoma" w:cs="Tahoma"/>
          <w:sz w:val="24"/>
          <w:szCs w:val="24"/>
        </w:rPr>
        <w:t xml:space="preserve"> only businesses connected to farming,</w:t>
      </w:r>
      <w:r w:rsidR="00B87FE5" w:rsidRPr="00504D8F">
        <w:rPr>
          <w:rFonts w:ascii="Tahoma" w:hAnsi="Tahoma" w:cs="Tahoma"/>
          <w:sz w:val="24"/>
          <w:szCs w:val="24"/>
        </w:rPr>
        <w:t xml:space="preserve"> </w:t>
      </w:r>
      <w:r w:rsidR="00521574" w:rsidRPr="00504D8F">
        <w:rPr>
          <w:rFonts w:ascii="Tahoma" w:hAnsi="Tahoma" w:cs="Tahoma"/>
          <w:sz w:val="24"/>
          <w:szCs w:val="24"/>
        </w:rPr>
        <w:t>forestry and fishing but other industries such as tourism and renewable</w:t>
      </w:r>
      <w:r w:rsidR="009F4779" w:rsidRPr="00504D8F">
        <w:rPr>
          <w:rFonts w:ascii="Tahoma" w:hAnsi="Tahoma" w:cs="Tahoma"/>
          <w:sz w:val="24"/>
          <w:szCs w:val="24"/>
        </w:rPr>
        <w:t xml:space="preserve"> </w:t>
      </w:r>
      <w:r w:rsidR="00521574" w:rsidRPr="00504D8F">
        <w:rPr>
          <w:rFonts w:ascii="Tahoma" w:hAnsi="Tahoma" w:cs="Tahoma"/>
          <w:sz w:val="24"/>
          <w:szCs w:val="24"/>
        </w:rPr>
        <w:t>energy which can provide further jobs and opportunities in rural areas as long</w:t>
      </w:r>
      <w:r w:rsidR="009F4779" w:rsidRPr="00504D8F">
        <w:rPr>
          <w:rFonts w:ascii="Tahoma" w:hAnsi="Tahoma" w:cs="Tahoma"/>
          <w:sz w:val="24"/>
          <w:szCs w:val="24"/>
        </w:rPr>
        <w:t xml:space="preserve"> </w:t>
      </w:r>
      <w:r w:rsidR="00521574" w:rsidRPr="00504D8F">
        <w:rPr>
          <w:rFonts w:ascii="Tahoma" w:hAnsi="Tahoma" w:cs="Tahoma"/>
          <w:sz w:val="24"/>
          <w:szCs w:val="24"/>
        </w:rPr>
        <w:t>as they are integrated appro</w:t>
      </w:r>
      <w:r w:rsidR="009F4779" w:rsidRPr="00504D8F">
        <w:rPr>
          <w:rFonts w:ascii="Tahoma" w:hAnsi="Tahoma" w:cs="Tahoma"/>
          <w:sz w:val="24"/>
          <w:szCs w:val="24"/>
        </w:rPr>
        <w:t xml:space="preserve">priately within a </w:t>
      </w:r>
      <w:r w:rsidR="00521574" w:rsidRPr="00504D8F">
        <w:rPr>
          <w:rFonts w:ascii="Tahoma" w:hAnsi="Tahoma" w:cs="Tahoma"/>
          <w:sz w:val="24"/>
          <w:szCs w:val="24"/>
        </w:rPr>
        <w:t>rural landscape.</w:t>
      </w:r>
    </w:p>
    <w:p w:rsidR="00261D78" w:rsidRPr="00504D8F" w:rsidRDefault="00261D78" w:rsidP="00521574">
      <w:pPr>
        <w:autoSpaceDE w:val="0"/>
        <w:autoSpaceDN w:val="0"/>
        <w:adjustRightInd w:val="0"/>
        <w:spacing w:after="0" w:line="240" w:lineRule="auto"/>
        <w:rPr>
          <w:rFonts w:ascii="Tahoma" w:hAnsi="Tahoma" w:cs="Tahoma"/>
          <w:b/>
          <w:bCs/>
          <w:sz w:val="24"/>
          <w:szCs w:val="24"/>
        </w:rPr>
      </w:pPr>
    </w:p>
    <w:p w:rsidR="00521574" w:rsidRPr="00504D8F" w:rsidRDefault="0019114F" w:rsidP="008E411D">
      <w:pPr>
        <w:autoSpaceDE w:val="0"/>
        <w:autoSpaceDN w:val="0"/>
        <w:adjustRightInd w:val="0"/>
        <w:spacing w:after="0" w:line="240" w:lineRule="auto"/>
        <w:jc w:val="both"/>
        <w:rPr>
          <w:rFonts w:ascii="Tahoma" w:hAnsi="Tahoma" w:cs="Tahoma"/>
          <w:color w:val="FF0000"/>
          <w:sz w:val="24"/>
          <w:szCs w:val="24"/>
        </w:rPr>
      </w:pPr>
      <w:r w:rsidRPr="00504D8F">
        <w:rPr>
          <w:rFonts w:ascii="Tahoma" w:hAnsi="Tahoma" w:cs="Tahoma"/>
          <w:b/>
          <w:bCs/>
          <w:sz w:val="24"/>
          <w:szCs w:val="24"/>
        </w:rPr>
        <w:t>2.5</w:t>
      </w:r>
      <w:r w:rsidR="00521574" w:rsidRPr="00504D8F">
        <w:rPr>
          <w:rFonts w:ascii="Tahoma" w:hAnsi="Tahoma" w:cs="Tahoma"/>
          <w:b/>
          <w:bCs/>
          <w:sz w:val="24"/>
          <w:szCs w:val="24"/>
        </w:rPr>
        <w:t xml:space="preserve"> </w:t>
      </w:r>
      <w:r w:rsidR="00866BF0">
        <w:rPr>
          <w:rFonts w:ascii="Tahoma" w:hAnsi="Tahoma" w:cs="Tahoma"/>
          <w:b/>
          <w:bCs/>
          <w:sz w:val="24"/>
          <w:szCs w:val="24"/>
        </w:rPr>
        <w:tab/>
      </w:r>
      <w:r w:rsidR="00F17E53" w:rsidRPr="00504D8F">
        <w:rPr>
          <w:rFonts w:ascii="Tahoma" w:hAnsi="Tahoma" w:cs="Tahoma"/>
          <w:bCs/>
          <w:sz w:val="24"/>
          <w:szCs w:val="24"/>
        </w:rPr>
        <w:t>The RDS advocates</w:t>
      </w:r>
      <w:r w:rsidR="00F17E53" w:rsidRPr="00504D8F">
        <w:rPr>
          <w:rFonts w:ascii="Tahoma" w:hAnsi="Tahoma" w:cs="Tahoma"/>
          <w:b/>
          <w:bCs/>
          <w:sz w:val="24"/>
          <w:szCs w:val="24"/>
        </w:rPr>
        <w:t xml:space="preserve"> </w:t>
      </w:r>
      <w:r w:rsidR="00F17E53" w:rsidRPr="00504D8F">
        <w:rPr>
          <w:rFonts w:ascii="Tahoma" w:hAnsi="Tahoma" w:cs="Tahoma"/>
          <w:sz w:val="24"/>
          <w:szCs w:val="24"/>
        </w:rPr>
        <w:t>that land zoned for economic use in Development Plans should be protected as it provides a valuable resource for local and external investme</w:t>
      </w:r>
      <w:r w:rsidR="0005760F" w:rsidRPr="00504D8F">
        <w:rPr>
          <w:rFonts w:ascii="Tahoma" w:hAnsi="Tahoma" w:cs="Tahoma"/>
          <w:sz w:val="24"/>
          <w:szCs w:val="24"/>
        </w:rPr>
        <w:t>nt. This should ensure that a va</w:t>
      </w:r>
      <w:r w:rsidR="00F17E53" w:rsidRPr="00504D8F">
        <w:rPr>
          <w:rFonts w:ascii="Tahoma" w:hAnsi="Tahoma" w:cs="Tahoma"/>
          <w:sz w:val="24"/>
          <w:szCs w:val="24"/>
        </w:rPr>
        <w:t xml:space="preserve">riety of suitable sites exist to provide adequate and continuous supply of land for economic development. </w:t>
      </w:r>
    </w:p>
    <w:p w:rsidR="00261D78" w:rsidRDefault="00261D78" w:rsidP="00521574">
      <w:pPr>
        <w:autoSpaceDE w:val="0"/>
        <w:autoSpaceDN w:val="0"/>
        <w:adjustRightInd w:val="0"/>
        <w:spacing w:after="0" w:line="240" w:lineRule="auto"/>
        <w:rPr>
          <w:rFonts w:ascii="Arial" w:hAnsi="Arial" w:cs="Arial"/>
          <w:b/>
          <w:bCs/>
          <w:sz w:val="24"/>
          <w:szCs w:val="24"/>
        </w:rPr>
      </w:pPr>
    </w:p>
    <w:p w:rsidR="00504D8F" w:rsidRDefault="00504D8F" w:rsidP="00521574">
      <w:pPr>
        <w:autoSpaceDE w:val="0"/>
        <w:autoSpaceDN w:val="0"/>
        <w:adjustRightInd w:val="0"/>
        <w:spacing w:after="0" w:line="240" w:lineRule="auto"/>
        <w:rPr>
          <w:rFonts w:ascii="Arial" w:hAnsi="Arial" w:cs="Arial"/>
          <w:b/>
          <w:bCs/>
          <w:sz w:val="24"/>
          <w:szCs w:val="24"/>
        </w:rPr>
      </w:pPr>
    </w:p>
    <w:p w:rsidR="00521574" w:rsidRPr="00504D8F" w:rsidRDefault="00863977" w:rsidP="00521574">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(c</w:t>
      </w:r>
      <w:r w:rsidR="00521574" w:rsidRPr="00504D8F">
        <w:rPr>
          <w:rFonts w:ascii="Tahoma" w:hAnsi="Tahoma" w:cs="Tahoma"/>
          <w:b/>
          <w:bCs/>
          <w:sz w:val="24"/>
          <w:szCs w:val="24"/>
        </w:rPr>
        <w:t>) Regional Planning Policy Statements</w:t>
      </w:r>
    </w:p>
    <w:p w:rsidR="008633D6" w:rsidRDefault="008633D6" w:rsidP="00521574">
      <w:pPr>
        <w:autoSpaceDE w:val="0"/>
        <w:autoSpaceDN w:val="0"/>
        <w:adjustRightInd w:val="0"/>
        <w:spacing w:after="0" w:line="240" w:lineRule="auto"/>
        <w:rPr>
          <w:rFonts w:ascii="Arial" w:hAnsi="Arial" w:cs="Arial"/>
          <w:b/>
          <w:bCs/>
          <w:sz w:val="24"/>
          <w:szCs w:val="24"/>
        </w:rPr>
      </w:pPr>
    </w:p>
    <w:p w:rsidR="008633D6" w:rsidRPr="00504D8F" w:rsidRDefault="008633D6" w:rsidP="00521574">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PPS4 Planning and Economic Development</w:t>
      </w:r>
    </w:p>
    <w:p w:rsidR="00261D78" w:rsidRPr="00504D8F" w:rsidRDefault="00261D78" w:rsidP="00521574">
      <w:pPr>
        <w:autoSpaceDE w:val="0"/>
        <w:autoSpaceDN w:val="0"/>
        <w:adjustRightInd w:val="0"/>
        <w:spacing w:after="0" w:line="240" w:lineRule="auto"/>
        <w:rPr>
          <w:rFonts w:ascii="Tahoma" w:hAnsi="Tahoma" w:cs="Tahoma"/>
          <w:b/>
          <w:bCs/>
          <w:sz w:val="24"/>
          <w:szCs w:val="24"/>
        </w:rPr>
      </w:pPr>
    </w:p>
    <w:p w:rsidR="00521574"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2.6</w:t>
      </w:r>
      <w:r w:rsidR="00521574" w:rsidRPr="00504D8F">
        <w:rPr>
          <w:rFonts w:ascii="Tahoma" w:hAnsi="Tahoma" w:cs="Tahoma"/>
          <w:b/>
          <w:bCs/>
          <w:sz w:val="24"/>
          <w:szCs w:val="24"/>
        </w:rPr>
        <w:t xml:space="preserve"> </w:t>
      </w:r>
      <w:r w:rsidR="00866BF0">
        <w:rPr>
          <w:rFonts w:ascii="Tahoma" w:hAnsi="Tahoma" w:cs="Tahoma"/>
          <w:b/>
          <w:bCs/>
          <w:sz w:val="24"/>
          <w:szCs w:val="24"/>
        </w:rPr>
        <w:tab/>
      </w:r>
      <w:r w:rsidR="00521574" w:rsidRPr="00504D8F">
        <w:rPr>
          <w:rFonts w:ascii="Tahoma" w:hAnsi="Tahoma" w:cs="Tahoma"/>
          <w:sz w:val="24"/>
          <w:szCs w:val="24"/>
        </w:rPr>
        <w:t>The RDS is complemented by the D</w:t>
      </w:r>
      <w:r w:rsidR="00C34726" w:rsidRPr="00504D8F">
        <w:rPr>
          <w:rFonts w:ascii="Tahoma" w:hAnsi="Tahoma" w:cs="Tahoma"/>
          <w:sz w:val="24"/>
          <w:szCs w:val="24"/>
        </w:rPr>
        <w:t xml:space="preserve">epartment </w:t>
      </w:r>
      <w:r w:rsidR="00934291" w:rsidRPr="00504D8F">
        <w:rPr>
          <w:rFonts w:ascii="Tahoma" w:hAnsi="Tahoma" w:cs="Tahoma"/>
          <w:sz w:val="24"/>
          <w:szCs w:val="24"/>
        </w:rPr>
        <w:t>of the Environment</w:t>
      </w:r>
      <w:r w:rsidR="00521574" w:rsidRPr="00504D8F">
        <w:rPr>
          <w:rFonts w:ascii="Tahoma" w:hAnsi="Tahoma" w:cs="Tahoma"/>
          <w:sz w:val="24"/>
          <w:szCs w:val="24"/>
        </w:rPr>
        <w:t>’s Planning Policy Statements</w:t>
      </w:r>
      <w:r w:rsidR="00934291" w:rsidRPr="00504D8F">
        <w:rPr>
          <w:rFonts w:ascii="Tahoma" w:hAnsi="Tahoma" w:cs="Tahoma"/>
          <w:sz w:val="24"/>
          <w:szCs w:val="24"/>
        </w:rPr>
        <w:t xml:space="preserve"> (PPSs)</w:t>
      </w:r>
      <w:r w:rsidR="00521574" w:rsidRPr="00504D8F">
        <w:rPr>
          <w:rFonts w:ascii="Tahoma" w:hAnsi="Tahoma" w:cs="Tahoma"/>
          <w:sz w:val="24"/>
          <w:szCs w:val="24"/>
        </w:rPr>
        <w:t>, the</w:t>
      </w:r>
      <w:r w:rsidR="00194D71" w:rsidRPr="00504D8F">
        <w:rPr>
          <w:rFonts w:ascii="Tahoma" w:hAnsi="Tahoma" w:cs="Tahoma"/>
          <w:sz w:val="24"/>
          <w:szCs w:val="24"/>
        </w:rPr>
        <w:t xml:space="preserve"> </w:t>
      </w:r>
      <w:r w:rsidR="00521574" w:rsidRPr="00504D8F">
        <w:rPr>
          <w:rFonts w:ascii="Tahoma" w:hAnsi="Tahoma" w:cs="Tahoma"/>
          <w:sz w:val="24"/>
          <w:szCs w:val="24"/>
        </w:rPr>
        <w:t>most relevant of which is PPS 4</w:t>
      </w:r>
      <w:r w:rsidR="00194D71" w:rsidRPr="00504D8F">
        <w:rPr>
          <w:rFonts w:ascii="Tahoma" w:hAnsi="Tahoma" w:cs="Tahoma"/>
          <w:sz w:val="24"/>
          <w:szCs w:val="24"/>
        </w:rPr>
        <w:t>:</w:t>
      </w:r>
      <w:r w:rsidR="00521574" w:rsidRPr="00504D8F">
        <w:rPr>
          <w:rFonts w:ascii="Tahoma" w:hAnsi="Tahoma" w:cs="Tahoma"/>
          <w:sz w:val="24"/>
          <w:szCs w:val="24"/>
        </w:rPr>
        <w:t xml:space="preserve"> Planning and Economic Development which</w:t>
      </w:r>
      <w:r w:rsidR="00194D71" w:rsidRPr="00504D8F">
        <w:rPr>
          <w:rFonts w:ascii="Tahoma" w:hAnsi="Tahoma" w:cs="Tahoma"/>
          <w:sz w:val="24"/>
          <w:szCs w:val="24"/>
        </w:rPr>
        <w:t xml:space="preserve"> </w:t>
      </w:r>
      <w:r w:rsidR="00521574" w:rsidRPr="00504D8F">
        <w:rPr>
          <w:rFonts w:ascii="Tahoma" w:hAnsi="Tahoma" w:cs="Tahoma"/>
          <w:sz w:val="24"/>
          <w:szCs w:val="24"/>
        </w:rPr>
        <w:t>sets out the Department’s planning policies for economic development uses</w:t>
      </w:r>
      <w:r w:rsidR="00194D71" w:rsidRPr="00504D8F">
        <w:rPr>
          <w:rFonts w:ascii="Tahoma" w:hAnsi="Tahoma" w:cs="Tahoma"/>
          <w:sz w:val="24"/>
          <w:szCs w:val="24"/>
        </w:rPr>
        <w:t xml:space="preserve"> </w:t>
      </w:r>
      <w:r w:rsidR="00521574" w:rsidRPr="00504D8F">
        <w:rPr>
          <w:rFonts w:ascii="Tahoma" w:hAnsi="Tahoma" w:cs="Tahoma"/>
          <w:sz w:val="24"/>
          <w:szCs w:val="24"/>
        </w:rPr>
        <w:t>and indicates how growth associated with such uses can be accommodated</w:t>
      </w:r>
      <w:r w:rsidR="00194D71" w:rsidRPr="00504D8F">
        <w:rPr>
          <w:rFonts w:ascii="Tahoma" w:hAnsi="Tahoma" w:cs="Tahoma"/>
          <w:sz w:val="24"/>
          <w:szCs w:val="24"/>
        </w:rPr>
        <w:t xml:space="preserve"> </w:t>
      </w:r>
      <w:r w:rsidR="00521574" w:rsidRPr="00504D8F">
        <w:rPr>
          <w:rFonts w:ascii="Tahoma" w:hAnsi="Tahoma" w:cs="Tahoma"/>
          <w:sz w:val="24"/>
          <w:szCs w:val="24"/>
        </w:rPr>
        <w:t>and promoted in development plans. Economic development uses comprise</w:t>
      </w:r>
      <w:r w:rsidR="00194D71" w:rsidRPr="00504D8F">
        <w:rPr>
          <w:rFonts w:ascii="Tahoma" w:hAnsi="Tahoma" w:cs="Tahoma"/>
          <w:sz w:val="24"/>
          <w:szCs w:val="24"/>
        </w:rPr>
        <w:t xml:space="preserve"> </w:t>
      </w:r>
      <w:r w:rsidR="00521574" w:rsidRPr="00504D8F">
        <w:rPr>
          <w:rFonts w:ascii="Tahoma" w:hAnsi="Tahoma" w:cs="Tahoma"/>
          <w:sz w:val="24"/>
          <w:szCs w:val="24"/>
        </w:rPr>
        <w:t>industrial, business and storage and distribution uses, as currently defined in</w:t>
      </w:r>
      <w:r w:rsidR="00194D71" w:rsidRPr="00504D8F">
        <w:rPr>
          <w:rFonts w:ascii="Tahoma" w:hAnsi="Tahoma" w:cs="Tahoma"/>
          <w:sz w:val="24"/>
          <w:szCs w:val="24"/>
        </w:rPr>
        <w:t xml:space="preserve"> </w:t>
      </w:r>
      <w:r w:rsidR="00521574" w:rsidRPr="00504D8F">
        <w:rPr>
          <w:rFonts w:ascii="Tahoma" w:hAnsi="Tahoma" w:cs="Tahoma"/>
          <w:sz w:val="24"/>
          <w:szCs w:val="24"/>
        </w:rPr>
        <w:t>Par</w:t>
      </w:r>
      <w:r w:rsidR="00194D71" w:rsidRPr="00504D8F">
        <w:rPr>
          <w:rFonts w:ascii="Tahoma" w:hAnsi="Tahoma" w:cs="Tahoma"/>
          <w:sz w:val="24"/>
          <w:szCs w:val="24"/>
        </w:rPr>
        <w:t>t</w:t>
      </w:r>
      <w:r w:rsidR="00521574" w:rsidRPr="00504D8F">
        <w:rPr>
          <w:rFonts w:ascii="Tahoma" w:hAnsi="Tahoma" w:cs="Tahoma"/>
          <w:sz w:val="24"/>
          <w:szCs w:val="24"/>
        </w:rPr>
        <w:t xml:space="preserve"> B ‘Industrial and Business Uses’ of the Planning (Use Classes) Order</w:t>
      </w:r>
    </w:p>
    <w:p w:rsidR="00521574" w:rsidRPr="00504D8F" w:rsidRDefault="00CC7C2D"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sz w:val="24"/>
          <w:szCs w:val="24"/>
        </w:rPr>
        <w:t>(Northern Ireland) 2015</w:t>
      </w:r>
      <w:r w:rsidR="00521574" w:rsidRPr="00504D8F">
        <w:rPr>
          <w:rFonts w:ascii="Tahoma" w:hAnsi="Tahoma" w:cs="Tahoma"/>
          <w:sz w:val="24"/>
          <w:szCs w:val="24"/>
        </w:rPr>
        <w:t>.</w:t>
      </w:r>
    </w:p>
    <w:p w:rsidR="00261D78" w:rsidRDefault="00261D78" w:rsidP="00521574">
      <w:pPr>
        <w:autoSpaceDE w:val="0"/>
        <w:autoSpaceDN w:val="0"/>
        <w:adjustRightInd w:val="0"/>
        <w:spacing w:after="0" w:line="240" w:lineRule="auto"/>
        <w:rPr>
          <w:rFonts w:ascii="Arial" w:hAnsi="Arial" w:cs="Arial"/>
          <w:b/>
          <w:bCs/>
          <w:sz w:val="24"/>
          <w:szCs w:val="24"/>
        </w:rPr>
      </w:pPr>
    </w:p>
    <w:p w:rsidR="00C37958" w:rsidRDefault="00C37958" w:rsidP="00521574">
      <w:pPr>
        <w:autoSpaceDE w:val="0"/>
        <w:autoSpaceDN w:val="0"/>
        <w:adjustRightInd w:val="0"/>
        <w:spacing w:after="0" w:line="240" w:lineRule="auto"/>
        <w:rPr>
          <w:rFonts w:ascii="Arial" w:hAnsi="Arial" w:cs="Arial"/>
          <w:b/>
          <w:bCs/>
          <w:sz w:val="24"/>
          <w:szCs w:val="24"/>
        </w:rPr>
      </w:pPr>
    </w:p>
    <w:p w:rsidR="00C83EE0" w:rsidRDefault="00C83EE0" w:rsidP="00521574">
      <w:pPr>
        <w:autoSpaceDE w:val="0"/>
        <w:autoSpaceDN w:val="0"/>
        <w:adjustRightInd w:val="0"/>
        <w:spacing w:after="0" w:line="240" w:lineRule="auto"/>
        <w:rPr>
          <w:rFonts w:ascii="Arial" w:hAnsi="Arial" w:cs="Arial"/>
          <w:b/>
          <w:bCs/>
          <w:sz w:val="24"/>
          <w:szCs w:val="24"/>
        </w:rPr>
      </w:pPr>
    </w:p>
    <w:p w:rsidR="008633D6" w:rsidRPr="00504D8F" w:rsidRDefault="008633D6" w:rsidP="008633D6">
      <w:pPr>
        <w:autoSpaceDE w:val="0"/>
        <w:autoSpaceDN w:val="0"/>
        <w:adjustRightInd w:val="0"/>
        <w:spacing w:after="0" w:line="240" w:lineRule="auto"/>
        <w:rPr>
          <w:rFonts w:ascii="Tahoma" w:hAnsi="Tahoma" w:cs="Tahoma"/>
          <w:b/>
          <w:sz w:val="24"/>
          <w:szCs w:val="24"/>
        </w:rPr>
      </w:pPr>
      <w:r w:rsidRPr="00504D8F">
        <w:rPr>
          <w:rFonts w:ascii="Tahoma" w:hAnsi="Tahoma" w:cs="Tahoma"/>
          <w:b/>
          <w:sz w:val="24"/>
          <w:szCs w:val="24"/>
        </w:rPr>
        <w:lastRenderedPageBreak/>
        <w:t xml:space="preserve"> Strategic Planning Policy Statement (SPPS)</w:t>
      </w:r>
    </w:p>
    <w:p w:rsidR="008633D6" w:rsidRPr="00504D8F" w:rsidRDefault="008633D6" w:rsidP="008633D6">
      <w:pPr>
        <w:autoSpaceDE w:val="0"/>
        <w:autoSpaceDN w:val="0"/>
        <w:adjustRightInd w:val="0"/>
        <w:spacing w:after="0" w:line="240" w:lineRule="auto"/>
        <w:rPr>
          <w:rFonts w:ascii="Tahoma" w:hAnsi="Tahoma" w:cs="Tahoma"/>
          <w:b/>
          <w:sz w:val="24"/>
          <w:szCs w:val="24"/>
        </w:rPr>
      </w:pPr>
    </w:p>
    <w:p w:rsidR="008633D6"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2.7</w:t>
      </w:r>
      <w:r w:rsidR="00EA7540" w:rsidRPr="00504D8F">
        <w:rPr>
          <w:rFonts w:ascii="Tahoma" w:hAnsi="Tahoma" w:cs="Tahoma"/>
          <w:sz w:val="24"/>
          <w:szCs w:val="24"/>
        </w:rPr>
        <w:t xml:space="preserve"> </w:t>
      </w:r>
      <w:r w:rsidR="00866BF0">
        <w:rPr>
          <w:rFonts w:ascii="Tahoma" w:hAnsi="Tahoma" w:cs="Tahoma"/>
          <w:sz w:val="24"/>
          <w:szCs w:val="24"/>
        </w:rPr>
        <w:tab/>
      </w:r>
      <w:r w:rsidR="008633D6" w:rsidRPr="00504D8F">
        <w:rPr>
          <w:rFonts w:ascii="Tahoma" w:hAnsi="Tahoma" w:cs="Tahoma"/>
          <w:sz w:val="24"/>
          <w:szCs w:val="24"/>
        </w:rPr>
        <w:t xml:space="preserve">The </w:t>
      </w:r>
      <w:r w:rsidR="00934291" w:rsidRPr="00504D8F">
        <w:rPr>
          <w:rFonts w:ascii="Tahoma" w:hAnsi="Tahoma" w:cs="Tahoma"/>
          <w:sz w:val="24"/>
          <w:szCs w:val="24"/>
        </w:rPr>
        <w:t xml:space="preserve">Department of the Environment’s </w:t>
      </w:r>
      <w:r w:rsidR="008633D6" w:rsidRPr="00504D8F">
        <w:rPr>
          <w:rFonts w:ascii="Tahoma" w:hAnsi="Tahoma" w:cs="Tahoma"/>
          <w:sz w:val="24"/>
          <w:szCs w:val="24"/>
        </w:rPr>
        <w:t xml:space="preserve">Strategic Planning Policy Statement (SPPS), will eventually replace existing PPSs, </w:t>
      </w:r>
      <w:r w:rsidR="00B76417" w:rsidRPr="00504D8F">
        <w:rPr>
          <w:rFonts w:ascii="Tahoma" w:hAnsi="Tahoma" w:cs="Tahoma"/>
          <w:sz w:val="24"/>
          <w:szCs w:val="24"/>
        </w:rPr>
        <w:t>however until s</w:t>
      </w:r>
      <w:r w:rsidR="006C147B" w:rsidRPr="00504D8F">
        <w:rPr>
          <w:rFonts w:ascii="Tahoma" w:hAnsi="Tahoma" w:cs="Tahoma"/>
          <w:sz w:val="24"/>
          <w:szCs w:val="24"/>
        </w:rPr>
        <w:t xml:space="preserve">uch time as the Council has its </w:t>
      </w:r>
      <w:r w:rsidR="00B76417" w:rsidRPr="00504D8F">
        <w:rPr>
          <w:rFonts w:ascii="Tahoma" w:hAnsi="Tahoma" w:cs="Tahoma"/>
          <w:sz w:val="24"/>
          <w:szCs w:val="24"/>
        </w:rPr>
        <w:t>local plan strategy</w:t>
      </w:r>
      <w:r w:rsidR="006C147B" w:rsidRPr="00504D8F">
        <w:rPr>
          <w:rFonts w:ascii="Tahoma" w:hAnsi="Tahoma" w:cs="Tahoma"/>
          <w:sz w:val="24"/>
          <w:szCs w:val="24"/>
        </w:rPr>
        <w:t xml:space="preserve"> adopted</w:t>
      </w:r>
      <w:r w:rsidR="00B76417" w:rsidRPr="00504D8F">
        <w:rPr>
          <w:rFonts w:ascii="Tahoma" w:hAnsi="Tahoma" w:cs="Tahoma"/>
          <w:sz w:val="24"/>
          <w:szCs w:val="24"/>
        </w:rPr>
        <w:t xml:space="preserve"> the Council will </w:t>
      </w:r>
      <w:r w:rsidR="006C147B" w:rsidRPr="00504D8F">
        <w:rPr>
          <w:rFonts w:ascii="Tahoma" w:hAnsi="Tahoma" w:cs="Tahoma"/>
          <w:sz w:val="24"/>
          <w:szCs w:val="24"/>
        </w:rPr>
        <w:t xml:space="preserve">continue to </w:t>
      </w:r>
      <w:r w:rsidR="00B76417" w:rsidRPr="00504D8F">
        <w:rPr>
          <w:rFonts w:ascii="Tahoma" w:hAnsi="Tahoma" w:cs="Tahoma"/>
          <w:sz w:val="24"/>
          <w:szCs w:val="24"/>
        </w:rPr>
        <w:t>apply the retained PPSs.</w:t>
      </w:r>
      <w:r w:rsidR="00B76417" w:rsidRPr="00504D8F">
        <w:rPr>
          <w:rStyle w:val="FootnoteReference"/>
          <w:rFonts w:ascii="Tahoma" w:hAnsi="Tahoma" w:cs="Tahoma"/>
          <w:sz w:val="24"/>
          <w:szCs w:val="24"/>
        </w:rPr>
        <w:footnoteReference w:id="2"/>
      </w:r>
      <w:r w:rsidR="006C147B" w:rsidRPr="00504D8F">
        <w:rPr>
          <w:rFonts w:ascii="Tahoma" w:hAnsi="Tahoma" w:cs="Tahoma"/>
          <w:sz w:val="24"/>
          <w:szCs w:val="24"/>
        </w:rPr>
        <w:t xml:space="preserve"> A draft</w:t>
      </w:r>
      <w:r w:rsidR="008633D6" w:rsidRPr="00504D8F">
        <w:rPr>
          <w:rFonts w:ascii="Tahoma" w:hAnsi="Tahoma" w:cs="Tahoma"/>
          <w:sz w:val="24"/>
          <w:szCs w:val="24"/>
        </w:rPr>
        <w:t xml:space="preserve"> SPPS was issued for </w:t>
      </w:r>
      <w:r w:rsidR="006C147B" w:rsidRPr="00504D8F">
        <w:rPr>
          <w:rFonts w:ascii="Tahoma" w:hAnsi="Tahoma" w:cs="Tahoma"/>
          <w:sz w:val="24"/>
          <w:szCs w:val="24"/>
        </w:rPr>
        <w:t xml:space="preserve">public </w:t>
      </w:r>
      <w:r w:rsidR="008633D6" w:rsidRPr="00504D8F">
        <w:rPr>
          <w:rFonts w:ascii="Tahoma" w:hAnsi="Tahoma" w:cs="Tahoma"/>
          <w:sz w:val="24"/>
          <w:szCs w:val="24"/>
        </w:rPr>
        <w:t>consultation in February 2014</w:t>
      </w:r>
      <w:r w:rsidR="006C147B" w:rsidRPr="00504D8F">
        <w:rPr>
          <w:rFonts w:ascii="Tahoma" w:hAnsi="Tahoma" w:cs="Tahoma"/>
          <w:sz w:val="24"/>
          <w:szCs w:val="24"/>
        </w:rPr>
        <w:t xml:space="preserve"> and has now been published in its final form (September 2015)</w:t>
      </w:r>
      <w:r w:rsidR="008633D6" w:rsidRPr="00504D8F">
        <w:rPr>
          <w:rFonts w:ascii="Tahoma" w:hAnsi="Tahoma" w:cs="Tahoma"/>
          <w:sz w:val="24"/>
          <w:szCs w:val="24"/>
        </w:rPr>
        <w:t xml:space="preserve">. The </w:t>
      </w:r>
      <w:r w:rsidR="009C0C14" w:rsidRPr="00504D8F">
        <w:rPr>
          <w:rFonts w:ascii="Tahoma" w:hAnsi="Tahoma" w:cs="Tahoma"/>
          <w:sz w:val="24"/>
          <w:szCs w:val="24"/>
        </w:rPr>
        <w:t>S</w:t>
      </w:r>
      <w:r w:rsidR="008633D6" w:rsidRPr="00504D8F">
        <w:rPr>
          <w:rFonts w:ascii="Tahoma" w:hAnsi="Tahoma" w:cs="Tahoma"/>
          <w:sz w:val="24"/>
          <w:szCs w:val="24"/>
        </w:rPr>
        <w:t>PPS does not introduce any significant changes to economic development policy but helps to shorten and simpl</w:t>
      </w:r>
      <w:r w:rsidR="00B76417" w:rsidRPr="00504D8F">
        <w:rPr>
          <w:rFonts w:ascii="Tahoma" w:hAnsi="Tahoma" w:cs="Tahoma"/>
          <w:sz w:val="24"/>
          <w:szCs w:val="24"/>
        </w:rPr>
        <w:t>i</w:t>
      </w:r>
      <w:r w:rsidR="009C0C14" w:rsidRPr="00504D8F">
        <w:rPr>
          <w:rFonts w:ascii="Tahoma" w:hAnsi="Tahoma" w:cs="Tahoma"/>
          <w:sz w:val="24"/>
          <w:szCs w:val="24"/>
        </w:rPr>
        <w:t>f</w:t>
      </w:r>
      <w:r w:rsidR="008633D6" w:rsidRPr="00504D8F">
        <w:rPr>
          <w:rFonts w:ascii="Tahoma" w:hAnsi="Tahoma" w:cs="Tahoma"/>
          <w:sz w:val="24"/>
          <w:szCs w:val="24"/>
        </w:rPr>
        <w:t xml:space="preserve">y the guidance for Councils. Both PPS4 and </w:t>
      </w:r>
      <w:r w:rsidR="009C0C14" w:rsidRPr="00504D8F">
        <w:rPr>
          <w:rFonts w:ascii="Tahoma" w:hAnsi="Tahoma" w:cs="Tahoma"/>
          <w:sz w:val="24"/>
          <w:szCs w:val="24"/>
        </w:rPr>
        <w:t xml:space="preserve">the </w:t>
      </w:r>
      <w:r w:rsidR="008633D6" w:rsidRPr="00504D8F">
        <w:rPr>
          <w:rFonts w:ascii="Tahoma" w:hAnsi="Tahoma" w:cs="Tahoma"/>
          <w:sz w:val="24"/>
          <w:szCs w:val="24"/>
        </w:rPr>
        <w:t>SPPS set regional policy objectives for economic development which are to:</w:t>
      </w:r>
    </w:p>
    <w:p w:rsidR="008633D6" w:rsidRPr="00504D8F" w:rsidRDefault="008633D6" w:rsidP="008633D6">
      <w:pPr>
        <w:autoSpaceDE w:val="0"/>
        <w:autoSpaceDN w:val="0"/>
        <w:adjustRightInd w:val="0"/>
        <w:spacing w:after="0" w:line="240" w:lineRule="auto"/>
        <w:rPr>
          <w:rFonts w:ascii="Tahoma" w:hAnsi="Tahoma" w:cs="Tahoma"/>
          <w:sz w:val="24"/>
          <w:szCs w:val="24"/>
        </w:rPr>
      </w:pPr>
    </w:p>
    <w:p w:rsidR="008633D6" w:rsidRPr="00504D8F" w:rsidRDefault="008633D6"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Promote sustainable economic development in an environmentally sustainable manner;</w:t>
      </w:r>
    </w:p>
    <w:p w:rsidR="008633D6" w:rsidRPr="00504D8F" w:rsidRDefault="008633D6"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Tackle disadvantage and facilitate job creation by ensuring the provision of a generous supply of land suitable for economic development an</w:t>
      </w:r>
      <w:r w:rsidR="00A07B76" w:rsidRPr="00504D8F">
        <w:rPr>
          <w:rFonts w:ascii="Tahoma" w:hAnsi="Tahoma" w:cs="Tahoma"/>
          <w:sz w:val="24"/>
          <w:szCs w:val="24"/>
        </w:rPr>
        <w:t>d a choice and range in ter</w:t>
      </w:r>
      <w:r w:rsidR="001C3210" w:rsidRPr="00504D8F">
        <w:rPr>
          <w:rFonts w:ascii="Tahoma" w:hAnsi="Tahoma" w:cs="Tahoma"/>
          <w:sz w:val="24"/>
          <w:szCs w:val="24"/>
        </w:rPr>
        <w:t>ms of quality</w:t>
      </w:r>
      <w:r w:rsidR="002B57C3" w:rsidRPr="00504D8F">
        <w:rPr>
          <w:rFonts w:ascii="Tahoma" w:hAnsi="Tahoma" w:cs="Tahoma"/>
          <w:sz w:val="24"/>
          <w:szCs w:val="24"/>
        </w:rPr>
        <w:t>;</w:t>
      </w:r>
    </w:p>
    <w:p w:rsidR="002B57C3" w:rsidRPr="00504D8F" w:rsidRDefault="002B57C3"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 xml:space="preserve">Sustain </w:t>
      </w:r>
      <w:r w:rsidR="001C3210" w:rsidRPr="00504D8F">
        <w:rPr>
          <w:rFonts w:ascii="Tahoma" w:hAnsi="Tahoma" w:cs="Tahoma"/>
          <w:sz w:val="24"/>
          <w:szCs w:val="24"/>
        </w:rPr>
        <w:t>a vibrant rural community</w:t>
      </w:r>
      <w:r w:rsidRPr="00504D8F">
        <w:rPr>
          <w:rFonts w:ascii="Tahoma" w:hAnsi="Tahoma" w:cs="Tahoma"/>
          <w:sz w:val="24"/>
          <w:szCs w:val="24"/>
        </w:rPr>
        <w:t xml:space="preserve"> by supporting economic de</w:t>
      </w:r>
      <w:r w:rsidR="001C3210" w:rsidRPr="00504D8F">
        <w:rPr>
          <w:rFonts w:ascii="Tahoma" w:hAnsi="Tahoma" w:cs="Tahoma"/>
          <w:sz w:val="24"/>
          <w:szCs w:val="24"/>
        </w:rPr>
        <w:t>velopment of an appropriate nature</w:t>
      </w:r>
      <w:r w:rsidRPr="00504D8F">
        <w:rPr>
          <w:rFonts w:ascii="Tahoma" w:hAnsi="Tahoma" w:cs="Tahoma"/>
          <w:sz w:val="24"/>
          <w:szCs w:val="24"/>
        </w:rPr>
        <w:t xml:space="preserve"> and scale;</w:t>
      </w:r>
    </w:p>
    <w:p w:rsidR="002B57C3" w:rsidRPr="00504D8F" w:rsidRDefault="002B57C3"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Support the re-use of previously developed economic development sites and buildings where they meet the needs of particular economic sectors;</w:t>
      </w:r>
    </w:p>
    <w:p w:rsidR="002B57C3" w:rsidRPr="00504D8F" w:rsidRDefault="00262A3F"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 xml:space="preserve">Promote mixed </w:t>
      </w:r>
      <w:r w:rsidR="002B57C3" w:rsidRPr="00504D8F">
        <w:rPr>
          <w:rFonts w:ascii="Tahoma" w:hAnsi="Tahoma" w:cs="Tahoma"/>
          <w:sz w:val="24"/>
          <w:szCs w:val="24"/>
        </w:rPr>
        <w:t>use development and improve integration between transport, economic development and other land uses, including housing</w:t>
      </w:r>
      <w:r w:rsidR="009C6CAC" w:rsidRPr="00504D8F">
        <w:rPr>
          <w:rFonts w:ascii="Tahoma" w:hAnsi="Tahoma" w:cs="Tahoma"/>
          <w:sz w:val="24"/>
          <w:szCs w:val="24"/>
        </w:rPr>
        <w:t>; and</w:t>
      </w:r>
    </w:p>
    <w:p w:rsidR="002B57C3" w:rsidRPr="00504D8F" w:rsidRDefault="002B57C3" w:rsidP="008633D6">
      <w:pPr>
        <w:pStyle w:val="ListParagraph"/>
        <w:numPr>
          <w:ilvl w:val="0"/>
          <w:numId w:val="16"/>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Ensure a high standard of quality and design for new economic development.</w:t>
      </w:r>
    </w:p>
    <w:p w:rsidR="00261D78" w:rsidRPr="00504D8F" w:rsidRDefault="00261D78" w:rsidP="00521574">
      <w:pPr>
        <w:autoSpaceDE w:val="0"/>
        <w:autoSpaceDN w:val="0"/>
        <w:adjustRightInd w:val="0"/>
        <w:spacing w:after="0" w:line="240" w:lineRule="auto"/>
        <w:rPr>
          <w:rFonts w:ascii="Tahoma" w:hAnsi="Tahoma" w:cs="Tahoma"/>
          <w:b/>
          <w:bCs/>
          <w:sz w:val="24"/>
          <w:szCs w:val="24"/>
        </w:rPr>
      </w:pPr>
    </w:p>
    <w:p w:rsidR="00261D78"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2.8</w:t>
      </w:r>
      <w:r w:rsidR="00521574" w:rsidRPr="00504D8F">
        <w:rPr>
          <w:rFonts w:ascii="Tahoma" w:hAnsi="Tahoma" w:cs="Tahoma"/>
          <w:b/>
          <w:bCs/>
          <w:sz w:val="24"/>
          <w:szCs w:val="24"/>
        </w:rPr>
        <w:t xml:space="preserve"> </w:t>
      </w:r>
      <w:r w:rsidR="00866BF0">
        <w:rPr>
          <w:rFonts w:ascii="Tahoma" w:hAnsi="Tahoma" w:cs="Tahoma"/>
          <w:b/>
          <w:bCs/>
          <w:sz w:val="24"/>
          <w:szCs w:val="24"/>
        </w:rPr>
        <w:tab/>
      </w:r>
      <w:r w:rsidR="006C147B" w:rsidRPr="00504D8F">
        <w:rPr>
          <w:rFonts w:ascii="Tahoma" w:hAnsi="Tahoma" w:cs="Tahoma"/>
          <w:sz w:val="24"/>
          <w:szCs w:val="24"/>
        </w:rPr>
        <w:t xml:space="preserve">The </w:t>
      </w:r>
      <w:r w:rsidR="00521574" w:rsidRPr="00504D8F">
        <w:rPr>
          <w:rFonts w:ascii="Tahoma" w:hAnsi="Tahoma" w:cs="Tahoma"/>
          <w:sz w:val="24"/>
          <w:szCs w:val="24"/>
        </w:rPr>
        <w:t>SPPS reiterates the role for LDPs to ensure that there is an ample</w:t>
      </w:r>
      <w:r w:rsidR="00435847">
        <w:rPr>
          <w:rFonts w:ascii="Tahoma" w:hAnsi="Tahoma" w:cs="Tahoma"/>
          <w:sz w:val="24"/>
          <w:szCs w:val="24"/>
        </w:rPr>
        <w:t xml:space="preserve"> </w:t>
      </w:r>
      <w:r w:rsidR="00521574" w:rsidRPr="00504D8F">
        <w:rPr>
          <w:rFonts w:ascii="Tahoma" w:hAnsi="Tahoma" w:cs="Tahoma"/>
          <w:sz w:val="24"/>
          <w:szCs w:val="24"/>
        </w:rPr>
        <w:t>supply of suitable land available to meet economic development needs</w:t>
      </w:r>
      <w:r w:rsidR="00EA2713">
        <w:rPr>
          <w:rFonts w:ascii="Tahoma" w:hAnsi="Tahoma" w:cs="Tahoma"/>
          <w:sz w:val="24"/>
          <w:szCs w:val="24"/>
        </w:rPr>
        <w:t>. LDP’s should offer</w:t>
      </w:r>
      <w:r w:rsidR="00521574" w:rsidRPr="00504D8F">
        <w:rPr>
          <w:rFonts w:ascii="Tahoma" w:hAnsi="Tahoma" w:cs="Tahoma"/>
          <w:sz w:val="24"/>
          <w:szCs w:val="24"/>
        </w:rPr>
        <w:t xml:space="preserve"> a</w:t>
      </w:r>
      <w:r w:rsidR="00261D78" w:rsidRPr="00504D8F">
        <w:rPr>
          <w:rFonts w:ascii="Tahoma" w:hAnsi="Tahoma" w:cs="Tahoma"/>
          <w:sz w:val="24"/>
          <w:szCs w:val="24"/>
        </w:rPr>
        <w:t xml:space="preserve"> range and choice of sites in terms of size and </w:t>
      </w:r>
      <w:r w:rsidR="001C3210" w:rsidRPr="00504D8F">
        <w:rPr>
          <w:rFonts w:ascii="Tahoma" w:hAnsi="Tahoma" w:cs="Tahoma"/>
          <w:sz w:val="24"/>
          <w:szCs w:val="24"/>
        </w:rPr>
        <w:t xml:space="preserve">location to promote flexibility and provide for the varying needs of different types of economic development. </w:t>
      </w:r>
      <w:r w:rsidR="00261D78" w:rsidRPr="00504D8F">
        <w:rPr>
          <w:rFonts w:ascii="Tahoma" w:hAnsi="Tahoma" w:cs="Tahoma"/>
          <w:sz w:val="24"/>
          <w:szCs w:val="24"/>
        </w:rPr>
        <w:t>Account should also be taken</w:t>
      </w:r>
      <w:r w:rsidR="001C3210" w:rsidRPr="00504D8F">
        <w:rPr>
          <w:rFonts w:ascii="Tahoma" w:hAnsi="Tahoma" w:cs="Tahoma"/>
          <w:sz w:val="24"/>
          <w:szCs w:val="24"/>
        </w:rPr>
        <w:t xml:space="preserve"> of factors such as accessibility</w:t>
      </w:r>
      <w:r w:rsidR="00261D78" w:rsidRPr="00504D8F">
        <w:rPr>
          <w:rFonts w:ascii="Tahoma" w:hAnsi="Tahoma" w:cs="Tahoma"/>
          <w:sz w:val="24"/>
          <w:szCs w:val="24"/>
        </w:rPr>
        <w:t xml:space="preserve"> by all members of</w:t>
      </w:r>
      <w:r w:rsidR="003F20C9" w:rsidRPr="00504D8F">
        <w:rPr>
          <w:rFonts w:ascii="Tahoma" w:hAnsi="Tahoma" w:cs="Tahoma"/>
          <w:sz w:val="24"/>
          <w:szCs w:val="24"/>
        </w:rPr>
        <w:t xml:space="preserve"> </w:t>
      </w:r>
      <w:r w:rsidR="00261D78" w:rsidRPr="00504D8F">
        <w:rPr>
          <w:rFonts w:ascii="Tahoma" w:hAnsi="Tahoma" w:cs="Tahoma"/>
          <w:sz w:val="24"/>
          <w:szCs w:val="24"/>
        </w:rPr>
        <w:t xml:space="preserve">the community, </w:t>
      </w:r>
      <w:r w:rsidR="001C3210" w:rsidRPr="00504D8F">
        <w:rPr>
          <w:rFonts w:ascii="Tahoma" w:hAnsi="Tahoma" w:cs="Tahoma"/>
          <w:sz w:val="24"/>
          <w:szCs w:val="24"/>
        </w:rPr>
        <w:t>connectivity with the transportation system</w:t>
      </w:r>
      <w:r w:rsidR="00EA2713">
        <w:rPr>
          <w:rFonts w:ascii="Tahoma" w:hAnsi="Tahoma" w:cs="Tahoma"/>
          <w:sz w:val="24"/>
          <w:szCs w:val="24"/>
        </w:rPr>
        <w:t xml:space="preserve"> (particularly public transport)</w:t>
      </w:r>
      <w:r w:rsidR="001C3210" w:rsidRPr="00504D8F">
        <w:rPr>
          <w:rFonts w:ascii="Tahoma" w:hAnsi="Tahoma" w:cs="Tahoma"/>
          <w:sz w:val="24"/>
          <w:szCs w:val="24"/>
        </w:rPr>
        <w:t xml:space="preserve">, </w:t>
      </w:r>
      <w:r w:rsidR="00261D78" w:rsidRPr="00504D8F">
        <w:rPr>
          <w:rFonts w:ascii="Tahoma" w:hAnsi="Tahoma" w:cs="Tahoma"/>
          <w:sz w:val="24"/>
          <w:szCs w:val="24"/>
        </w:rPr>
        <w:t>availability of adequate infra</w:t>
      </w:r>
      <w:r w:rsidR="001C3210" w:rsidRPr="00504D8F">
        <w:rPr>
          <w:rFonts w:ascii="Tahoma" w:hAnsi="Tahoma" w:cs="Tahoma"/>
          <w:sz w:val="24"/>
          <w:szCs w:val="24"/>
        </w:rPr>
        <w:t xml:space="preserve">structure, specialised needs of </w:t>
      </w:r>
      <w:r w:rsidR="00261D78" w:rsidRPr="00504D8F">
        <w:rPr>
          <w:rFonts w:ascii="Tahoma" w:hAnsi="Tahoma" w:cs="Tahoma"/>
          <w:sz w:val="24"/>
          <w:szCs w:val="24"/>
        </w:rPr>
        <w:t>specific economic activities, potential environmental impacts</w:t>
      </w:r>
      <w:r w:rsidR="00194D71" w:rsidRPr="00504D8F">
        <w:rPr>
          <w:rFonts w:ascii="Tahoma" w:hAnsi="Tahoma" w:cs="Tahoma"/>
          <w:sz w:val="24"/>
          <w:szCs w:val="24"/>
        </w:rPr>
        <w:t>,</w:t>
      </w:r>
      <w:r w:rsidR="00261D78" w:rsidRPr="00504D8F">
        <w:rPr>
          <w:rFonts w:ascii="Tahoma" w:hAnsi="Tahoma" w:cs="Tahoma"/>
          <w:sz w:val="24"/>
          <w:szCs w:val="24"/>
        </w:rPr>
        <w:t xml:space="preserve"> and </w:t>
      </w:r>
      <w:r w:rsidR="001C3210" w:rsidRPr="00504D8F">
        <w:rPr>
          <w:rFonts w:ascii="Tahoma" w:hAnsi="Tahoma" w:cs="Tahoma"/>
          <w:sz w:val="24"/>
          <w:szCs w:val="24"/>
        </w:rPr>
        <w:t xml:space="preserve">compatibility </w:t>
      </w:r>
      <w:r w:rsidR="00261D78" w:rsidRPr="00504D8F">
        <w:rPr>
          <w:rFonts w:ascii="Tahoma" w:hAnsi="Tahoma" w:cs="Tahoma"/>
          <w:sz w:val="24"/>
          <w:szCs w:val="24"/>
        </w:rPr>
        <w:t xml:space="preserve">with nearby uses. </w:t>
      </w:r>
      <w:r w:rsidR="001C3210" w:rsidRPr="00504D8F">
        <w:rPr>
          <w:rFonts w:ascii="Tahoma" w:hAnsi="Tahoma" w:cs="Tahoma"/>
          <w:sz w:val="24"/>
          <w:szCs w:val="24"/>
        </w:rPr>
        <w:t>LDPs sho</w:t>
      </w:r>
      <w:r w:rsidR="008E411D">
        <w:rPr>
          <w:rFonts w:ascii="Tahoma" w:hAnsi="Tahoma" w:cs="Tahoma"/>
          <w:sz w:val="24"/>
          <w:szCs w:val="24"/>
        </w:rPr>
        <w:t xml:space="preserve">uld seek to identify previously </w:t>
      </w:r>
      <w:r w:rsidR="00261D78" w:rsidRPr="00504D8F">
        <w:rPr>
          <w:rFonts w:ascii="Tahoma" w:hAnsi="Tahoma" w:cs="Tahoma"/>
          <w:sz w:val="24"/>
          <w:szCs w:val="24"/>
        </w:rPr>
        <w:t xml:space="preserve">developed land for economic development, to </w:t>
      </w:r>
      <w:r w:rsidR="001C3210" w:rsidRPr="00504D8F">
        <w:rPr>
          <w:rFonts w:ascii="Tahoma" w:hAnsi="Tahoma" w:cs="Tahoma"/>
          <w:sz w:val="24"/>
          <w:szCs w:val="24"/>
        </w:rPr>
        <w:t xml:space="preserve">assist in reducing the need for </w:t>
      </w:r>
      <w:r w:rsidR="00261D78" w:rsidRPr="00504D8F">
        <w:rPr>
          <w:rFonts w:ascii="Tahoma" w:hAnsi="Tahoma" w:cs="Tahoma"/>
          <w:sz w:val="24"/>
          <w:szCs w:val="24"/>
        </w:rPr>
        <w:t>green field development. A system to monit</w:t>
      </w:r>
      <w:r w:rsidR="001C3210" w:rsidRPr="00504D8F">
        <w:rPr>
          <w:rFonts w:ascii="Tahoma" w:hAnsi="Tahoma" w:cs="Tahoma"/>
          <w:sz w:val="24"/>
          <w:szCs w:val="24"/>
        </w:rPr>
        <w:t xml:space="preserve">or the take up and loss of land </w:t>
      </w:r>
      <w:r w:rsidR="00261D78" w:rsidRPr="00504D8F">
        <w:rPr>
          <w:rFonts w:ascii="Tahoma" w:hAnsi="Tahoma" w:cs="Tahoma"/>
          <w:sz w:val="24"/>
          <w:szCs w:val="24"/>
        </w:rPr>
        <w:t>allocated for economic development purposes</w:t>
      </w:r>
      <w:r w:rsidR="008E411D">
        <w:rPr>
          <w:rFonts w:ascii="Tahoma" w:hAnsi="Tahoma" w:cs="Tahoma"/>
          <w:sz w:val="24"/>
          <w:szCs w:val="24"/>
        </w:rPr>
        <w:t xml:space="preserve"> should also be put in place so </w:t>
      </w:r>
      <w:r w:rsidR="00261D78" w:rsidRPr="00504D8F">
        <w:rPr>
          <w:rFonts w:ascii="Tahoma" w:hAnsi="Tahoma" w:cs="Tahoma"/>
          <w:sz w:val="24"/>
          <w:szCs w:val="24"/>
        </w:rPr>
        <w:t>that any shortfalls can be identified.</w:t>
      </w:r>
    </w:p>
    <w:p w:rsidR="00261D78" w:rsidRDefault="00261D78" w:rsidP="00261D78">
      <w:pPr>
        <w:autoSpaceDE w:val="0"/>
        <w:autoSpaceDN w:val="0"/>
        <w:adjustRightInd w:val="0"/>
        <w:spacing w:after="0" w:line="240" w:lineRule="auto"/>
        <w:rPr>
          <w:rFonts w:ascii="Arial" w:hAnsi="Arial" w:cs="Arial"/>
          <w:b/>
          <w:bCs/>
          <w:sz w:val="24"/>
          <w:szCs w:val="24"/>
        </w:rPr>
      </w:pPr>
    </w:p>
    <w:p w:rsidR="00261D78"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2.9</w:t>
      </w:r>
      <w:r w:rsidR="00261D78" w:rsidRPr="00504D8F">
        <w:rPr>
          <w:rFonts w:ascii="Tahoma" w:hAnsi="Tahoma" w:cs="Tahoma"/>
          <w:b/>
          <w:bCs/>
          <w:sz w:val="24"/>
          <w:szCs w:val="24"/>
        </w:rPr>
        <w:t xml:space="preserve"> </w:t>
      </w:r>
      <w:r w:rsidR="00866BF0">
        <w:rPr>
          <w:rFonts w:ascii="Tahoma" w:hAnsi="Tahoma" w:cs="Tahoma"/>
          <w:b/>
          <w:bCs/>
          <w:sz w:val="24"/>
          <w:szCs w:val="24"/>
        </w:rPr>
        <w:tab/>
      </w:r>
      <w:r w:rsidR="00261D78" w:rsidRPr="00504D8F">
        <w:rPr>
          <w:rFonts w:ascii="Tahoma" w:hAnsi="Tahoma" w:cs="Tahoma"/>
          <w:sz w:val="24"/>
          <w:szCs w:val="24"/>
        </w:rPr>
        <w:t>The SPPS also expresses the need, in the interests of rural amenity and</w:t>
      </w:r>
      <w:r w:rsidR="00435847">
        <w:rPr>
          <w:rFonts w:ascii="Tahoma" w:hAnsi="Tahoma" w:cs="Tahoma"/>
          <w:sz w:val="24"/>
          <w:szCs w:val="24"/>
        </w:rPr>
        <w:t xml:space="preserve"> </w:t>
      </w:r>
      <w:r w:rsidR="00261D78" w:rsidRPr="00504D8F">
        <w:rPr>
          <w:rFonts w:ascii="Tahoma" w:hAnsi="Tahoma" w:cs="Tahoma"/>
          <w:sz w:val="24"/>
          <w:szCs w:val="24"/>
        </w:rPr>
        <w:t>wider sustainability objectives, to restrict the level of new building for economic development purposes outside settlements. Exceptions may include where a suitable site cannot be found within a settlement</w:t>
      </w:r>
      <w:r w:rsidR="001C3210" w:rsidRPr="00504D8F">
        <w:rPr>
          <w:rFonts w:ascii="Tahoma" w:hAnsi="Tahoma" w:cs="Tahoma"/>
          <w:sz w:val="24"/>
          <w:szCs w:val="24"/>
        </w:rPr>
        <w:t xml:space="preserve"> for a small scale project</w:t>
      </w:r>
      <w:r w:rsidR="00261D78" w:rsidRPr="00504D8F">
        <w:rPr>
          <w:rFonts w:ascii="Tahoma" w:hAnsi="Tahoma" w:cs="Tahoma"/>
          <w:sz w:val="24"/>
          <w:szCs w:val="24"/>
        </w:rPr>
        <w:t>, or where the proposal is for a major industrial development and a countryside location is necessary due to its size or site requirements.</w:t>
      </w:r>
    </w:p>
    <w:p w:rsidR="00614A14" w:rsidRDefault="00614A14" w:rsidP="00261D78">
      <w:pPr>
        <w:autoSpaceDE w:val="0"/>
        <w:autoSpaceDN w:val="0"/>
        <w:adjustRightInd w:val="0"/>
        <w:spacing w:after="0" w:line="240" w:lineRule="auto"/>
        <w:rPr>
          <w:rFonts w:ascii="Tahoma" w:hAnsi="Tahoma" w:cs="Tahoma"/>
          <w:sz w:val="24"/>
          <w:szCs w:val="24"/>
        </w:rPr>
      </w:pPr>
    </w:p>
    <w:p w:rsidR="00435847" w:rsidRDefault="00435847" w:rsidP="00261D78">
      <w:pPr>
        <w:autoSpaceDE w:val="0"/>
        <w:autoSpaceDN w:val="0"/>
        <w:adjustRightInd w:val="0"/>
        <w:spacing w:after="0" w:line="240" w:lineRule="auto"/>
        <w:rPr>
          <w:rFonts w:ascii="Tahoma" w:hAnsi="Tahoma" w:cs="Tahoma"/>
          <w:sz w:val="24"/>
          <w:szCs w:val="24"/>
        </w:rPr>
      </w:pPr>
    </w:p>
    <w:p w:rsidR="00435847" w:rsidRPr="00504D8F" w:rsidRDefault="00435847" w:rsidP="00261D78">
      <w:pPr>
        <w:autoSpaceDE w:val="0"/>
        <w:autoSpaceDN w:val="0"/>
        <w:adjustRightInd w:val="0"/>
        <w:spacing w:after="0" w:line="240" w:lineRule="auto"/>
        <w:rPr>
          <w:rFonts w:ascii="Tahoma" w:hAnsi="Tahoma" w:cs="Tahoma"/>
          <w:sz w:val="24"/>
          <w:szCs w:val="24"/>
        </w:rPr>
      </w:pPr>
    </w:p>
    <w:p w:rsidR="00261D78"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lastRenderedPageBreak/>
        <w:t>2.10</w:t>
      </w:r>
      <w:r w:rsidR="00261D78" w:rsidRPr="00504D8F">
        <w:rPr>
          <w:rFonts w:ascii="Tahoma" w:hAnsi="Tahoma" w:cs="Tahoma"/>
          <w:b/>
          <w:bCs/>
          <w:sz w:val="24"/>
          <w:szCs w:val="24"/>
        </w:rPr>
        <w:t xml:space="preserve"> </w:t>
      </w:r>
      <w:r w:rsidR="00866BF0">
        <w:rPr>
          <w:rFonts w:ascii="Tahoma" w:hAnsi="Tahoma" w:cs="Tahoma"/>
          <w:b/>
          <w:bCs/>
          <w:sz w:val="24"/>
          <w:szCs w:val="24"/>
        </w:rPr>
        <w:tab/>
      </w:r>
      <w:r w:rsidR="008633D6" w:rsidRPr="00504D8F">
        <w:rPr>
          <w:rFonts w:ascii="Tahoma" w:hAnsi="Tahoma" w:cs="Tahoma"/>
          <w:sz w:val="24"/>
          <w:szCs w:val="24"/>
        </w:rPr>
        <w:t xml:space="preserve">The SPPS </w:t>
      </w:r>
      <w:r w:rsidR="00261D78" w:rsidRPr="00504D8F">
        <w:rPr>
          <w:rFonts w:ascii="Tahoma" w:hAnsi="Tahoma" w:cs="Tahoma"/>
          <w:sz w:val="24"/>
          <w:szCs w:val="24"/>
        </w:rPr>
        <w:t>recognises the need to support and sustain vibrant rural</w:t>
      </w:r>
    </w:p>
    <w:p w:rsidR="00261D78" w:rsidRPr="00504D8F" w:rsidRDefault="00261D78" w:rsidP="008E411D">
      <w:pPr>
        <w:autoSpaceDE w:val="0"/>
        <w:autoSpaceDN w:val="0"/>
        <w:adjustRightInd w:val="0"/>
        <w:spacing w:after="0" w:line="240" w:lineRule="auto"/>
        <w:jc w:val="both"/>
        <w:rPr>
          <w:rFonts w:ascii="Tahoma" w:hAnsi="Tahoma" w:cs="Tahoma"/>
          <w:sz w:val="24"/>
          <w:szCs w:val="24"/>
        </w:rPr>
      </w:pPr>
      <w:proofErr w:type="gramStart"/>
      <w:r w:rsidRPr="00504D8F">
        <w:rPr>
          <w:rFonts w:ascii="Tahoma" w:hAnsi="Tahoma" w:cs="Tahoma"/>
          <w:sz w:val="24"/>
          <w:szCs w:val="24"/>
        </w:rPr>
        <w:t>communities</w:t>
      </w:r>
      <w:proofErr w:type="gramEnd"/>
      <w:r w:rsidRPr="00504D8F">
        <w:rPr>
          <w:rFonts w:ascii="Tahoma" w:hAnsi="Tahoma" w:cs="Tahoma"/>
          <w:sz w:val="24"/>
          <w:szCs w:val="24"/>
        </w:rPr>
        <w:t xml:space="preserve"> consistent with the RDS and to strike a balance between facilitating new development and protecting the environment from inappropriate development. </w:t>
      </w:r>
      <w:r w:rsidR="00EF3092" w:rsidRPr="00504D8F">
        <w:rPr>
          <w:rFonts w:ascii="Tahoma" w:hAnsi="Tahoma" w:cs="Tahoma"/>
          <w:sz w:val="24"/>
          <w:szCs w:val="24"/>
        </w:rPr>
        <w:t>Farm diversification, the re-use of rural buildings and appropriate redevelopment and expansion proposals for industrial and business purposes will normally offer the greatest scope for sustainable economic development in the countryside. Such proposals may occasionally involve the construction of new buildings, where they can be integrated in a satisfactory manner.</w:t>
      </w:r>
    </w:p>
    <w:p w:rsidR="00EF3092" w:rsidRPr="00504D8F" w:rsidRDefault="00EF3092" w:rsidP="008E411D">
      <w:pPr>
        <w:autoSpaceDE w:val="0"/>
        <w:autoSpaceDN w:val="0"/>
        <w:adjustRightInd w:val="0"/>
        <w:spacing w:after="0" w:line="240" w:lineRule="auto"/>
        <w:jc w:val="both"/>
        <w:rPr>
          <w:rFonts w:ascii="Tahoma" w:hAnsi="Tahoma" w:cs="Tahoma"/>
          <w:b/>
          <w:bCs/>
          <w:sz w:val="24"/>
          <w:szCs w:val="24"/>
        </w:rPr>
      </w:pPr>
    </w:p>
    <w:p w:rsidR="00261D78" w:rsidRPr="00504D8F" w:rsidRDefault="001911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2.11</w:t>
      </w:r>
      <w:r w:rsidR="00261D78" w:rsidRPr="00504D8F">
        <w:rPr>
          <w:rFonts w:ascii="Tahoma" w:hAnsi="Tahoma" w:cs="Tahoma"/>
          <w:b/>
          <w:bCs/>
          <w:sz w:val="24"/>
          <w:szCs w:val="24"/>
        </w:rPr>
        <w:t xml:space="preserve"> </w:t>
      </w:r>
      <w:r w:rsidR="00866BF0">
        <w:rPr>
          <w:rFonts w:ascii="Tahoma" w:hAnsi="Tahoma" w:cs="Tahoma"/>
          <w:b/>
          <w:bCs/>
          <w:sz w:val="24"/>
          <w:szCs w:val="24"/>
        </w:rPr>
        <w:tab/>
      </w:r>
      <w:r w:rsidR="00261D78" w:rsidRPr="00504D8F">
        <w:rPr>
          <w:rFonts w:ascii="Tahoma" w:hAnsi="Tahoma" w:cs="Tahoma"/>
          <w:sz w:val="24"/>
          <w:szCs w:val="24"/>
        </w:rPr>
        <w:t>Tourism also makes an important contribution to the Northern Ireland economy in terms of the revenues it generates and the employment opportunities it</w:t>
      </w:r>
      <w:r w:rsidR="006C147B" w:rsidRPr="00504D8F">
        <w:rPr>
          <w:rFonts w:ascii="Tahoma" w:hAnsi="Tahoma" w:cs="Tahoma"/>
          <w:sz w:val="24"/>
          <w:szCs w:val="24"/>
        </w:rPr>
        <w:t xml:space="preserve"> provides. The aim of the </w:t>
      </w:r>
      <w:r w:rsidR="00261D78" w:rsidRPr="00504D8F">
        <w:rPr>
          <w:rFonts w:ascii="Tahoma" w:hAnsi="Tahoma" w:cs="Tahoma"/>
          <w:sz w:val="24"/>
          <w:szCs w:val="24"/>
        </w:rPr>
        <w:t xml:space="preserve">SPPS in relation to tourism development is to manage the provision of sustainable and high quality tourism developments in appropriate locations within the built and natural environments. Tourism will be examined </w:t>
      </w:r>
      <w:r w:rsidR="00605BF8" w:rsidRPr="00504D8F">
        <w:rPr>
          <w:rFonts w:ascii="Tahoma" w:hAnsi="Tahoma" w:cs="Tahoma"/>
          <w:sz w:val="24"/>
          <w:szCs w:val="24"/>
        </w:rPr>
        <w:t xml:space="preserve">in a </w:t>
      </w:r>
      <w:r w:rsidR="00424B9B" w:rsidRPr="00504D8F">
        <w:rPr>
          <w:rFonts w:ascii="Tahoma" w:hAnsi="Tahoma" w:cs="Tahoma"/>
          <w:sz w:val="24"/>
          <w:szCs w:val="24"/>
        </w:rPr>
        <w:t xml:space="preserve">further preparatory </w:t>
      </w:r>
      <w:r w:rsidR="00605BF8" w:rsidRPr="00504D8F">
        <w:rPr>
          <w:rFonts w:ascii="Tahoma" w:hAnsi="Tahoma" w:cs="Tahoma"/>
          <w:sz w:val="24"/>
          <w:szCs w:val="24"/>
        </w:rPr>
        <w:t xml:space="preserve">paper to be </w:t>
      </w:r>
      <w:r w:rsidR="00424B9B" w:rsidRPr="00504D8F">
        <w:rPr>
          <w:rFonts w:ascii="Tahoma" w:hAnsi="Tahoma" w:cs="Tahoma"/>
          <w:sz w:val="24"/>
          <w:szCs w:val="24"/>
        </w:rPr>
        <w:t>prepared by the plan</w:t>
      </w:r>
      <w:r w:rsidR="009F4779" w:rsidRPr="00504D8F">
        <w:rPr>
          <w:rFonts w:ascii="Tahoma" w:hAnsi="Tahoma" w:cs="Tahoma"/>
          <w:sz w:val="24"/>
          <w:szCs w:val="24"/>
        </w:rPr>
        <w:t xml:space="preserve"> team and presented to Council</w:t>
      </w:r>
      <w:r w:rsidR="00261D78" w:rsidRPr="00504D8F">
        <w:rPr>
          <w:rFonts w:ascii="Tahoma" w:hAnsi="Tahoma" w:cs="Tahoma"/>
          <w:sz w:val="24"/>
          <w:szCs w:val="24"/>
        </w:rPr>
        <w:t>. Town centres also provide employment and a new strategic policy for town centres and reta</w:t>
      </w:r>
      <w:r w:rsidR="006C147B" w:rsidRPr="00504D8F">
        <w:rPr>
          <w:rFonts w:ascii="Tahoma" w:hAnsi="Tahoma" w:cs="Tahoma"/>
          <w:sz w:val="24"/>
          <w:szCs w:val="24"/>
        </w:rPr>
        <w:t xml:space="preserve">iling is contained in the </w:t>
      </w:r>
      <w:r w:rsidR="00261D78" w:rsidRPr="00504D8F">
        <w:rPr>
          <w:rFonts w:ascii="Tahoma" w:hAnsi="Tahoma" w:cs="Tahoma"/>
          <w:sz w:val="24"/>
          <w:szCs w:val="24"/>
        </w:rPr>
        <w:t>SPPS. The role of town centres will be explored in the next paper.</w:t>
      </w:r>
    </w:p>
    <w:p w:rsidR="00261D78" w:rsidRPr="00504D8F" w:rsidRDefault="00261D78" w:rsidP="008E411D">
      <w:pPr>
        <w:autoSpaceDE w:val="0"/>
        <w:autoSpaceDN w:val="0"/>
        <w:adjustRightInd w:val="0"/>
        <w:spacing w:after="0" w:line="240" w:lineRule="auto"/>
        <w:jc w:val="both"/>
        <w:rPr>
          <w:rFonts w:ascii="Tahoma" w:hAnsi="Tahoma" w:cs="Tahoma"/>
          <w:b/>
          <w:bCs/>
          <w:sz w:val="24"/>
          <w:szCs w:val="24"/>
        </w:rPr>
      </w:pPr>
    </w:p>
    <w:p w:rsidR="005024D5" w:rsidRDefault="005024D5" w:rsidP="00B441D2">
      <w:pPr>
        <w:autoSpaceDE w:val="0"/>
        <w:autoSpaceDN w:val="0"/>
        <w:adjustRightInd w:val="0"/>
        <w:spacing w:after="0" w:line="240" w:lineRule="auto"/>
        <w:rPr>
          <w:rFonts w:ascii="Arial" w:hAnsi="Arial" w:cs="Arial"/>
          <w:sz w:val="24"/>
          <w:szCs w:val="24"/>
        </w:rPr>
      </w:pPr>
    </w:p>
    <w:p w:rsidR="00E75DB8" w:rsidRPr="00504D8F" w:rsidRDefault="00E75DB8" w:rsidP="00B441D2">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 xml:space="preserve">(d) </w:t>
      </w:r>
      <w:r w:rsidR="00F2362D" w:rsidRPr="00504D8F">
        <w:rPr>
          <w:rFonts w:ascii="Tahoma" w:hAnsi="Tahoma" w:cs="Tahoma"/>
          <w:b/>
          <w:bCs/>
          <w:sz w:val="24"/>
          <w:szCs w:val="24"/>
        </w:rPr>
        <w:t xml:space="preserve">NMD </w:t>
      </w:r>
      <w:r w:rsidR="007C59FE" w:rsidRPr="00504D8F">
        <w:rPr>
          <w:rFonts w:ascii="Tahoma" w:hAnsi="Tahoma" w:cs="Tahoma"/>
          <w:b/>
          <w:bCs/>
          <w:sz w:val="24"/>
          <w:szCs w:val="24"/>
        </w:rPr>
        <w:t xml:space="preserve">District </w:t>
      </w:r>
      <w:r w:rsidR="00F2362D" w:rsidRPr="00504D8F">
        <w:rPr>
          <w:rFonts w:ascii="Tahoma" w:hAnsi="Tahoma" w:cs="Tahoma"/>
          <w:b/>
          <w:bCs/>
          <w:sz w:val="24"/>
          <w:szCs w:val="24"/>
        </w:rPr>
        <w:t>Council Corporate Plan</w:t>
      </w:r>
      <w:r w:rsidR="007C59FE" w:rsidRPr="00504D8F">
        <w:rPr>
          <w:rFonts w:ascii="Tahoma" w:hAnsi="Tahoma" w:cs="Tahoma"/>
          <w:b/>
          <w:bCs/>
          <w:sz w:val="24"/>
          <w:szCs w:val="24"/>
        </w:rPr>
        <w:t xml:space="preserve"> 2015-19</w:t>
      </w:r>
    </w:p>
    <w:p w:rsidR="002972D0" w:rsidRPr="00504D8F" w:rsidRDefault="002972D0" w:rsidP="00B441D2">
      <w:pPr>
        <w:autoSpaceDE w:val="0"/>
        <w:autoSpaceDN w:val="0"/>
        <w:adjustRightInd w:val="0"/>
        <w:spacing w:after="0" w:line="240" w:lineRule="auto"/>
        <w:rPr>
          <w:rFonts w:ascii="Tahoma" w:hAnsi="Tahoma" w:cs="Tahoma"/>
          <w:b/>
          <w:bCs/>
          <w:sz w:val="24"/>
          <w:szCs w:val="24"/>
        </w:rPr>
      </w:pPr>
    </w:p>
    <w:p w:rsidR="002972D0" w:rsidRPr="00504D8F" w:rsidRDefault="0019114F"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2.12</w:t>
      </w:r>
      <w:r w:rsidR="007C59FE" w:rsidRPr="00504D8F">
        <w:rPr>
          <w:rFonts w:ascii="Tahoma" w:hAnsi="Tahoma" w:cs="Tahoma"/>
          <w:bCs/>
          <w:sz w:val="24"/>
          <w:szCs w:val="24"/>
        </w:rPr>
        <w:t xml:space="preserve"> </w:t>
      </w:r>
      <w:r w:rsidR="00866BF0">
        <w:rPr>
          <w:rFonts w:ascii="Tahoma" w:hAnsi="Tahoma" w:cs="Tahoma"/>
          <w:bCs/>
          <w:sz w:val="24"/>
          <w:szCs w:val="24"/>
        </w:rPr>
        <w:tab/>
      </w:r>
      <w:r w:rsidR="00086AD8" w:rsidRPr="00504D8F">
        <w:rPr>
          <w:rFonts w:ascii="Tahoma" w:hAnsi="Tahoma" w:cs="Tahoma"/>
          <w:bCs/>
          <w:sz w:val="24"/>
          <w:szCs w:val="24"/>
        </w:rPr>
        <w:t xml:space="preserve">Under the </w:t>
      </w:r>
      <w:r w:rsidR="00086EAC">
        <w:rPr>
          <w:rFonts w:ascii="Tahoma" w:hAnsi="Tahoma" w:cs="Tahoma"/>
          <w:bCs/>
          <w:sz w:val="24"/>
          <w:szCs w:val="24"/>
        </w:rPr>
        <w:t xml:space="preserve">Council’s </w:t>
      </w:r>
      <w:r w:rsidR="00086AD8" w:rsidRPr="00504D8F">
        <w:rPr>
          <w:rFonts w:ascii="Tahoma" w:hAnsi="Tahoma" w:cs="Tahoma"/>
          <w:bCs/>
          <w:sz w:val="24"/>
          <w:szCs w:val="24"/>
        </w:rPr>
        <w:t>Corporate Plan a strategic objective is to attract investment and support the creation of new jobs. One of the associated key actions is to prioritise infrastructure development and economic regeneration as part of the new Local Development Plan.</w:t>
      </w:r>
    </w:p>
    <w:p w:rsidR="00086AD8" w:rsidRPr="00504D8F" w:rsidRDefault="00086AD8" w:rsidP="008E411D">
      <w:pPr>
        <w:autoSpaceDE w:val="0"/>
        <w:autoSpaceDN w:val="0"/>
        <w:adjustRightInd w:val="0"/>
        <w:spacing w:after="0" w:line="240" w:lineRule="auto"/>
        <w:jc w:val="both"/>
        <w:rPr>
          <w:rFonts w:ascii="Tahoma" w:hAnsi="Tahoma" w:cs="Tahoma"/>
          <w:bCs/>
          <w:sz w:val="24"/>
          <w:szCs w:val="24"/>
        </w:rPr>
      </w:pPr>
    </w:p>
    <w:p w:rsidR="00086AD8" w:rsidRPr="00504D8F" w:rsidRDefault="0019114F"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2.13</w:t>
      </w:r>
      <w:r w:rsidR="00AA1B7A" w:rsidRPr="00504D8F">
        <w:rPr>
          <w:rFonts w:ascii="Tahoma" w:hAnsi="Tahoma" w:cs="Tahoma"/>
          <w:bCs/>
          <w:sz w:val="24"/>
          <w:szCs w:val="24"/>
        </w:rPr>
        <w:t xml:space="preserve"> </w:t>
      </w:r>
      <w:r w:rsidR="00866BF0">
        <w:rPr>
          <w:rFonts w:ascii="Tahoma" w:hAnsi="Tahoma" w:cs="Tahoma"/>
          <w:bCs/>
          <w:sz w:val="24"/>
          <w:szCs w:val="24"/>
        </w:rPr>
        <w:tab/>
      </w:r>
      <w:r w:rsidR="00086AD8" w:rsidRPr="00504D8F">
        <w:rPr>
          <w:rFonts w:ascii="Tahoma" w:hAnsi="Tahoma" w:cs="Tahoma"/>
          <w:bCs/>
          <w:sz w:val="24"/>
          <w:szCs w:val="24"/>
        </w:rPr>
        <w:t xml:space="preserve">The Plan </w:t>
      </w:r>
      <w:r w:rsidR="00925996" w:rsidRPr="00504D8F">
        <w:rPr>
          <w:rFonts w:ascii="Tahoma" w:hAnsi="Tahoma" w:cs="Tahoma"/>
          <w:bCs/>
          <w:sz w:val="24"/>
          <w:szCs w:val="24"/>
        </w:rPr>
        <w:t>highlights that the District ranks third</w:t>
      </w:r>
      <w:r w:rsidR="005F34E5" w:rsidRPr="00504D8F">
        <w:rPr>
          <w:rFonts w:ascii="Tahoma" w:hAnsi="Tahoma" w:cs="Tahoma"/>
          <w:bCs/>
          <w:sz w:val="24"/>
          <w:szCs w:val="24"/>
        </w:rPr>
        <w:t>, amongst all 11 councils,</w:t>
      </w:r>
      <w:r w:rsidR="00925996" w:rsidRPr="00504D8F">
        <w:rPr>
          <w:rFonts w:ascii="Tahoma" w:hAnsi="Tahoma" w:cs="Tahoma"/>
          <w:bCs/>
          <w:sz w:val="24"/>
          <w:szCs w:val="24"/>
        </w:rPr>
        <w:t xml:space="preserve"> in terms of the percentage of the </w:t>
      </w:r>
      <w:r w:rsidR="00B450BA" w:rsidRPr="00504D8F">
        <w:rPr>
          <w:rFonts w:ascii="Tahoma" w:hAnsi="Tahoma" w:cs="Tahoma"/>
          <w:bCs/>
          <w:sz w:val="24"/>
          <w:szCs w:val="24"/>
        </w:rPr>
        <w:t>workforce who are self-</w:t>
      </w:r>
      <w:r w:rsidR="0058141B" w:rsidRPr="00504D8F">
        <w:rPr>
          <w:rFonts w:ascii="Tahoma" w:hAnsi="Tahoma" w:cs="Tahoma"/>
          <w:bCs/>
          <w:sz w:val="24"/>
          <w:szCs w:val="24"/>
        </w:rPr>
        <w:t>employed. This demonstrates</w:t>
      </w:r>
      <w:r w:rsidR="00925996" w:rsidRPr="00504D8F">
        <w:rPr>
          <w:rFonts w:ascii="Tahoma" w:hAnsi="Tahoma" w:cs="Tahoma"/>
          <w:bCs/>
          <w:sz w:val="24"/>
          <w:szCs w:val="24"/>
        </w:rPr>
        <w:t xml:space="preserve"> the entrepreneurial nature of the District and the need for the LDP to consider </w:t>
      </w:r>
      <w:r w:rsidR="00AA1B7A" w:rsidRPr="00504D8F">
        <w:rPr>
          <w:rFonts w:ascii="Tahoma" w:hAnsi="Tahoma" w:cs="Tahoma"/>
          <w:bCs/>
          <w:sz w:val="24"/>
          <w:szCs w:val="24"/>
        </w:rPr>
        <w:t xml:space="preserve">how </w:t>
      </w:r>
      <w:r w:rsidR="00925996" w:rsidRPr="00504D8F">
        <w:rPr>
          <w:rFonts w:ascii="Tahoma" w:hAnsi="Tahoma" w:cs="Tahoma"/>
          <w:bCs/>
          <w:sz w:val="24"/>
          <w:szCs w:val="24"/>
        </w:rPr>
        <w:t>the land use requirements of small business operators th</w:t>
      </w:r>
      <w:r w:rsidR="007C59FE" w:rsidRPr="00504D8F">
        <w:rPr>
          <w:rFonts w:ascii="Tahoma" w:hAnsi="Tahoma" w:cs="Tahoma"/>
          <w:bCs/>
          <w:sz w:val="24"/>
          <w:szCs w:val="24"/>
        </w:rPr>
        <w:t>roughout the Council area</w:t>
      </w:r>
      <w:r w:rsidR="0058141B" w:rsidRPr="00504D8F">
        <w:rPr>
          <w:rFonts w:ascii="Tahoma" w:hAnsi="Tahoma" w:cs="Tahoma"/>
          <w:bCs/>
          <w:sz w:val="24"/>
          <w:szCs w:val="24"/>
        </w:rPr>
        <w:t xml:space="preserve"> could</w:t>
      </w:r>
      <w:r w:rsidR="00AA1B7A" w:rsidRPr="00504D8F">
        <w:rPr>
          <w:rFonts w:ascii="Tahoma" w:hAnsi="Tahoma" w:cs="Tahoma"/>
          <w:bCs/>
          <w:sz w:val="24"/>
          <w:szCs w:val="24"/>
        </w:rPr>
        <w:t xml:space="preserve"> be addressed.</w:t>
      </w:r>
    </w:p>
    <w:p w:rsidR="00925996" w:rsidRPr="00504D8F" w:rsidRDefault="00925996" w:rsidP="008E411D">
      <w:pPr>
        <w:autoSpaceDE w:val="0"/>
        <w:autoSpaceDN w:val="0"/>
        <w:adjustRightInd w:val="0"/>
        <w:spacing w:after="0" w:line="240" w:lineRule="auto"/>
        <w:jc w:val="both"/>
        <w:rPr>
          <w:rFonts w:ascii="Tahoma" w:hAnsi="Tahoma" w:cs="Tahoma"/>
          <w:bCs/>
          <w:sz w:val="24"/>
          <w:szCs w:val="24"/>
        </w:rPr>
      </w:pPr>
    </w:p>
    <w:p w:rsidR="00925996" w:rsidRPr="00504D8F" w:rsidRDefault="0019114F"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2.14</w:t>
      </w:r>
      <w:r w:rsidR="00AA1B7A" w:rsidRPr="00504D8F">
        <w:rPr>
          <w:rFonts w:ascii="Tahoma" w:hAnsi="Tahoma" w:cs="Tahoma"/>
          <w:bCs/>
          <w:sz w:val="24"/>
          <w:szCs w:val="24"/>
        </w:rPr>
        <w:t xml:space="preserve"> </w:t>
      </w:r>
      <w:r w:rsidR="00866BF0">
        <w:rPr>
          <w:rFonts w:ascii="Tahoma" w:hAnsi="Tahoma" w:cs="Tahoma"/>
          <w:bCs/>
          <w:sz w:val="24"/>
          <w:szCs w:val="24"/>
        </w:rPr>
        <w:tab/>
      </w:r>
      <w:r w:rsidR="00925996" w:rsidRPr="00504D8F">
        <w:rPr>
          <w:rFonts w:ascii="Tahoma" w:hAnsi="Tahoma" w:cs="Tahoma"/>
          <w:bCs/>
          <w:sz w:val="24"/>
          <w:szCs w:val="24"/>
        </w:rPr>
        <w:t xml:space="preserve">The challenge under the Corporate Plan is </w:t>
      </w:r>
      <w:r w:rsidR="000A4E30" w:rsidRPr="00504D8F">
        <w:rPr>
          <w:rFonts w:ascii="Tahoma" w:hAnsi="Tahoma" w:cs="Tahoma"/>
          <w:bCs/>
          <w:sz w:val="24"/>
          <w:szCs w:val="24"/>
        </w:rPr>
        <w:t xml:space="preserve">therefore </w:t>
      </w:r>
      <w:r w:rsidR="00925996" w:rsidRPr="00504D8F">
        <w:rPr>
          <w:rFonts w:ascii="Tahoma" w:hAnsi="Tahoma" w:cs="Tahoma"/>
          <w:bCs/>
          <w:sz w:val="24"/>
          <w:szCs w:val="24"/>
        </w:rPr>
        <w:t xml:space="preserve">to secure greater private and public investment into the Council District as a means of supporting employment opportunities for all. The new LDP has a critical role to play in this regard ensuring that </w:t>
      </w:r>
      <w:r w:rsidR="000A4E30" w:rsidRPr="00504D8F">
        <w:rPr>
          <w:rFonts w:ascii="Tahoma" w:hAnsi="Tahoma" w:cs="Tahoma"/>
          <w:bCs/>
          <w:sz w:val="24"/>
          <w:szCs w:val="24"/>
        </w:rPr>
        <w:t>policies and proposa</w:t>
      </w:r>
      <w:r w:rsidR="00AA1B7A" w:rsidRPr="00504D8F">
        <w:rPr>
          <w:rFonts w:ascii="Tahoma" w:hAnsi="Tahoma" w:cs="Tahoma"/>
          <w:bCs/>
          <w:sz w:val="24"/>
          <w:szCs w:val="24"/>
        </w:rPr>
        <w:t xml:space="preserve">ls within the plan provide land </w:t>
      </w:r>
      <w:r w:rsidR="000A4E30" w:rsidRPr="00504D8F">
        <w:rPr>
          <w:rFonts w:ascii="Tahoma" w:hAnsi="Tahoma" w:cs="Tahoma"/>
          <w:bCs/>
          <w:sz w:val="24"/>
          <w:szCs w:val="24"/>
        </w:rPr>
        <w:t xml:space="preserve">use opportunities that </w:t>
      </w:r>
      <w:r w:rsidR="00AA1B7A" w:rsidRPr="00504D8F">
        <w:rPr>
          <w:rFonts w:ascii="Tahoma" w:hAnsi="Tahoma" w:cs="Tahoma"/>
          <w:bCs/>
          <w:sz w:val="24"/>
          <w:szCs w:val="24"/>
        </w:rPr>
        <w:t xml:space="preserve">are aligned to </w:t>
      </w:r>
      <w:r w:rsidR="005F34E5" w:rsidRPr="00504D8F">
        <w:rPr>
          <w:rFonts w:ascii="Tahoma" w:hAnsi="Tahoma" w:cs="Tahoma"/>
          <w:bCs/>
          <w:sz w:val="24"/>
          <w:szCs w:val="24"/>
        </w:rPr>
        <w:t>the Districts</w:t>
      </w:r>
      <w:r w:rsidR="00AA1B7A" w:rsidRPr="00504D8F">
        <w:rPr>
          <w:rFonts w:ascii="Tahoma" w:hAnsi="Tahoma" w:cs="Tahoma"/>
          <w:bCs/>
          <w:sz w:val="24"/>
          <w:szCs w:val="24"/>
        </w:rPr>
        <w:t xml:space="preserve"> business need</w:t>
      </w:r>
      <w:r w:rsidR="005F34E5" w:rsidRPr="00504D8F">
        <w:rPr>
          <w:rFonts w:ascii="Tahoma" w:hAnsi="Tahoma" w:cs="Tahoma"/>
          <w:bCs/>
          <w:sz w:val="24"/>
          <w:szCs w:val="24"/>
        </w:rPr>
        <w:t>s</w:t>
      </w:r>
      <w:r w:rsidR="00AA1B7A" w:rsidRPr="00504D8F">
        <w:rPr>
          <w:rFonts w:ascii="Tahoma" w:hAnsi="Tahoma" w:cs="Tahoma"/>
          <w:bCs/>
          <w:sz w:val="24"/>
          <w:szCs w:val="24"/>
        </w:rPr>
        <w:t>.</w:t>
      </w:r>
    </w:p>
    <w:p w:rsidR="005F34E5" w:rsidRPr="00086AD8" w:rsidRDefault="005F34E5" w:rsidP="00B441D2">
      <w:pPr>
        <w:autoSpaceDE w:val="0"/>
        <w:autoSpaceDN w:val="0"/>
        <w:adjustRightInd w:val="0"/>
        <w:spacing w:after="0" w:line="240" w:lineRule="auto"/>
        <w:rPr>
          <w:rFonts w:ascii="Arial" w:hAnsi="Arial" w:cs="Arial"/>
          <w:bCs/>
          <w:sz w:val="24"/>
          <w:szCs w:val="24"/>
        </w:rPr>
      </w:pPr>
    </w:p>
    <w:p w:rsidR="00C4706C" w:rsidRDefault="00C4706C" w:rsidP="00B441D2">
      <w:pPr>
        <w:autoSpaceDE w:val="0"/>
        <w:autoSpaceDN w:val="0"/>
        <w:adjustRightInd w:val="0"/>
        <w:spacing w:after="0" w:line="240" w:lineRule="auto"/>
        <w:rPr>
          <w:rFonts w:ascii="Arial" w:hAnsi="Arial" w:cs="Arial"/>
          <w:b/>
          <w:bCs/>
          <w:sz w:val="24"/>
          <w:szCs w:val="24"/>
        </w:rPr>
      </w:pPr>
    </w:p>
    <w:p w:rsidR="008E411D" w:rsidRDefault="008E411D" w:rsidP="00B441D2">
      <w:pPr>
        <w:autoSpaceDE w:val="0"/>
        <w:autoSpaceDN w:val="0"/>
        <w:adjustRightInd w:val="0"/>
        <w:spacing w:after="0" w:line="240" w:lineRule="auto"/>
        <w:rPr>
          <w:rFonts w:ascii="Arial" w:hAnsi="Arial" w:cs="Arial"/>
          <w:b/>
          <w:bCs/>
          <w:sz w:val="24"/>
          <w:szCs w:val="24"/>
        </w:rPr>
      </w:pPr>
    </w:p>
    <w:p w:rsidR="008E411D" w:rsidRDefault="008E411D" w:rsidP="00B441D2">
      <w:pPr>
        <w:autoSpaceDE w:val="0"/>
        <w:autoSpaceDN w:val="0"/>
        <w:adjustRightInd w:val="0"/>
        <w:spacing w:after="0" w:line="240" w:lineRule="auto"/>
        <w:rPr>
          <w:rFonts w:ascii="Arial" w:hAnsi="Arial" w:cs="Arial"/>
          <w:b/>
          <w:bCs/>
          <w:sz w:val="24"/>
          <w:szCs w:val="24"/>
        </w:rPr>
      </w:pPr>
    </w:p>
    <w:p w:rsidR="008E411D" w:rsidRDefault="008E411D" w:rsidP="00B441D2">
      <w:pPr>
        <w:autoSpaceDE w:val="0"/>
        <w:autoSpaceDN w:val="0"/>
        <w:adjustRightInd w:val="0"/>
        <w:spacing w:after="0" w:line="240" w:lineRule="auto"/>
        <w:rPr>
          <w:rFonts w:ascii="Arial" w:hAnsi="Arial" w:cs="Arial"/>
          <w:b/>
          <w:bCs/>
          <w:sz w:val="24"/>
          <w:szCs w:val="24"/>
        </w:rPr>
      </w:pPr>
    </w:p>
    <w:p w:rsidR="008E411D" w:rsidRDefault="008E411D" w:rsidP="00B441D2">
      <w:pPr>
        <w:autoSpaceDE w:val="0"/>
        <w:autoSpaceDN w:val="0"/>
        <w:adjustRightInd w:val="0"/>
        <w:spacing w:after="0" w:line="240" w:lineRule="auto"/>
        <w:rPr>
          <w:rFonts w:ascii="Arial" w:hAnsi="Arial" w:cs="Arial"/>
          <w:b/>
          <w:bCs/>
          <w:sz w:val="24"/>
          <w:szCs w:val="24"/>
        </w:rPr>
      </w:pPr>
    </w:p>
    <w:p w:rsidR="00086EAC" w:rsidRDefault="00086EAC" w:rsidP="00B441D2">
      <w:pPr>
        <w:autoSpaceDE w:val="0"/>
        <w:autoSpaceDN w:val="0"/>
        <w:adjustRightInd w:val="0"/>
        <w:spacing w:after="0" w:line="240" w:lineRule="auto"/>
        <w:rPr>
          <w:rFonts w:ascii="Arial" w:hAnsi="Arial" w:cs="Arial"/>
          <w:b/>
          <w:bCs/>
          <w:sz w:val="24"/>
          <w:szCs w:val="24"/>
        </w:rPr>
      </w:pPr>
    </w:p>
    <w:p w:rsidR="00086EAC" w:rsidRDefault="00086EAC" w:rsidP="00B441D2">
      <w:pPr>
        <w:autoSpaceDE w:val="0"/>
        <w:autoSpaceDN w:val="0"/>
        <w:adjustRightInd w:val="0"/>
        <w:spacing w:after="0" w:line="240" w:lineRule="auto"/>
        <w:rPr>
          <w:rFonts w:ascii="Arial" w:hAnsi="Arial" w:cs="Arial"/>
          <w:b/>
          <w:bCs/>
          <w:sz w:val="24"/>
          <w:szCs w:val="24"/>
        </w:rPr>
      </w:pPr>
    </w:p>
    <w:p w:rsidR="00086EAC" w:rsidRDefault="00086EAC" w:rsidP="00B441D2">
      <w:pPr>
        <w:autoSpaceDE w:val="0"/>
        <w:autoSpaceDN w:val="0"/>
        <w:adjustRightInd w:val="0"/>
        <w:spacing w:after="0" w:line="240" w:lineRule="auto"/>
        <w:rPr>
          <w:rFonts w:ascii="Arial" w:hAnsi="Arial" w:cs="Arial"/>
          <w:b/>
          <w:bCs/>
          <w:sz w:val="24"/>
          <w:szCs w:val="24"/>
        </w:rPr>
      </w:pPr>
    </w:p>
    <w:p w:rsidR="00086EAC" w:rsidRDefault="00086EAC" w:rsidP="00B441D2">
      <w:pPr>
        <w:autoSpaceDE w:val="0"/>
        <w:autoSpaceDN w:val="0"/>
        <w:adjustRightInd w:val="0"/>
        <w:spacing w:after="0" w:line="240" w:lineRule="auto"/>
        <w:rPr>
          <w:rFonts w:ascii="Arial" w:hAnsi="Arial" w:cs="Arial"/>
          <w:b/>
          <w:bCs/>
          <w:sz w:val="24"/>
          <w:szCs w:val="24"/>
        </w:rPr>
      </w:pPr>
    </w:p>
    <w:p w:rsidR="005D67B1" w:rsidRPr="00504D8F" w:rsidRDefault="005D67B1" w:rsidP="00B441D2">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lastRenderedPageBreak/>
        <w:t>(e)</w:t>
      </w:r>
      <w:r w:rsidRPr="00504D8F">
        <w:rPr>
          <w:rFonts w:ascii="Tahoma" w:hAnsi="Tahoma" w:cs="Tahoma"/>
          <w:sz w:val="24"/>
          <w:szCs w:val="24"/>
        </w:rPr>
        <w:t xml:space="preserve"> </w:t>
      </w:r>
      <w:r w:rsidRPr="00504D8F">
        <w:rPr>
          <w:rFonts w:ascii="Tahoma" w:hAnsi="Tahoma" w:cs="Tahoma"/>
          <w:b/>
          <w:bCs/>
          <w:sz w:val="24"/>
          <w:szCs w:val="24"/>
        </w:rPr>
        <w:t>NMD Economic Regeneration and Investment Strategy 2015 – 2020</w:t>
      </w:r>
    </w:p>
    <w:p w:rsidR="00E75DB8" w:rsidRPr="00504D8F" w:rsidRDefault="00E75DB8" w:rsidP="00B441D2">
      <w:pPr>
        <w:autoSpaceDE w:val="0"/>
        <w:autoSpaceDN w:val="0"/>
        <w:adjustRightInd w:val="0"/>
        <w:spacing w:after="0" w:line="240" w:lineRule="auto"/>
        <w:rPr>
          <w:rFonts w:ascii="Tahoma" w:hAnsi="Tahoma" w:cs="Tahoma"/>
          <w:b/>
          <w:bCs/>
          <w:sz w:val="28"/>
          <w:szCs w:val="28"/>
        </w:rPr>
      </w:pPr>
    </w:p>
    <w:p w:rsidR="00070996" w:rsidRPr="00504D8F" w:rsidRDefault="007C59FE"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w:t>
      </w:r>
      <w:r w:rsidR="0019114F" w:rsidRPr="00504D8F">
        <w:rPr>
          <w:rFonts w:ascii="Tahoma" w:hAnsi="Tahoma" w:cs="Tahoma"/>
          <w:b/>
          <w:bCs/>
          <w:sz w:val="24"/>
          <w:szCs w:val="24"/>
        </w:rPr>
        <w:t>5</w:t>
      </w:r>
      <w:r w:rsidR="00C91D52" w:rsidRPr="00504D8F">
        <w:rPr>
          <w:rFonts w:ascii="Tahoma" w:hAnsi="Tahoma" w:cs="Tahoma"/>
          <w:bCs/>
          <w:sz w:val="24"/>
          <w:szCs w:val="24"/>
        </w:rPr>
        <w:t xml:space="preserve"> </w:t>
      </w:r>
      <w:r w:rsidR="00866BF0">
        <w:rPr>
          <w:rFonts w:ascii="Tahoma" w:hAnsi="Tahoma" w:cs="Tahoma"/>
          <w:bCs/>
          <w:sz w:val="24"/>
          <w:szCs w:val="24"/>
        </w:rPr>
        <w:tab/>
      </w:r>
      <w:r w:rsidR="008664D2" w:rsidRPr="00504D8F">
        <w:rPr>
          <w:rFonts w:ascii="Tahoma" w:hAnsi="Tahoma" w:cs="Tahoma"/>
          <w:bCs/>
          <w:sz w:val="24"/>
          <w:szCs w:val="24"/>
        </w:rPr>
        <w:t xml:space="preserve">The Council’s Strategy guides ‘what and ‘how’ it delivers on the vision of </w:t>
      </w:r>
    </w:p>
    <w:p w:rsidR="008664D2" w:rsidRPr="00504D8F" w:rsidRDefault="008664D2" w:rsidP="00B441D2">
      <w:pPr>
        <w:autoSpaceDE w:val="0"/>
        <w:autoSpaceDN w:val="0"/>
        <w:adjustRightInd w:val="0"/>
        <w:spacing w:after="0" w:line="240" w:lineRule="auto"/>
        <w:rPr>
          <w:rFonts w:ascii="Tahoma" w:hAnsi="Tahoma" w:cs="Tahoma"/>
          <w:bCs/>
          <w:sz w:val="24"/>
          <w:szCs w:val="24"/>
        </w:rPr>
      </w:pPr>
    </w:p>
    <w:p w:rsidR="008664D2" w:rsidRPr="00504D8F" w:rsidRDefault="008664D2"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w:t>
      </w:r>
      <w:r w:rsidRPr="00504D8F">
        <w:rPr>
          <w:rFonts w:ascii="Tahoma" w:hAnsi="Tahoma" w:cs="Tahoma"/>
          <w:bCs/>
          <w:i/>
          <w:sz w:val="24"/>
          <w:szCs w:val="24"/>
        </w:rPr>
        <w:t xml:space="preserve">Newry, </w:t>
      </w:r>
      <w:proofErr w:type="spellStart"/>
      <w:r w:rsidRPr="00504D8F">
        <w:rPr>
          <w:rFonts w:ascii="Tahoma" w:hAnsi="Tahoma" w:cs="Tahoma"/>
          <w:bCs/>
          <w:i/>
          <w:sz w:val="24"/>
          <w:szCs w:val="24"/>
        </w:rPr>
        <w:t>Mourne</w:t>
      </w:r>
      <w:proofErr w:type="spellEnd"/>
      <w:r w:rsidRPr="00504D8F">
        <w:rPr>
          <w:rFonts w:ascii="Tahoma" w:hAnsi="Tahoma" w:cs="Tahoma"/>
          <w:bCs/>
          <w:i/>
          <w:sz w:val="24"/>
          <w:szCs w:val="24"/>
        </w:rPr>
        <w:t xml:space="preserve"> and Down a vibrant, dynamic and connected region for investment, tourism and culture</w:t>
      </w:r>
      <w:r w:rsidRPr="00504D8F">
        <w:rPr>
          <w:rFonts w:ascii="Tahoma" w:hAnsi="Tahoma" w:cs="Tahoma"/>
          <w:bCs/>
          <w:sz w:val="24"/>
          <w:szCs w:val="24"/>
        </w:rPr>
        <w:t>”</w:t>
      </w:r>
    </w:p>
    <w:p w:rsidR="008664D2" w:rsidRPr="00504D8F" w:rsidRDefault="008664D2" w:rsidP="00B441D2">
      <w:pPr>
        <w:autoSpaceDE w:val="0"/>
        <w:autoSpaceDN w:val="0"/>
        <w:adjustRightInd w:val="0"/>
        <w:spacing w:after="0" w:line="240" w:lineRule="auto"/>
        <w:rPr>
          <w:rFonts w:ascii="Tahoma" w:hAnsi="Tahoma" w:cs="Tahoma"/>
          <w:bCs/>
          <w:sz w:val="24"/>
          <w:szCs w:val="24"/>
        </w:rPr>
      </w:pPr>
    </w:p>
    <w:p w:rsidR="00EE4C79" w:rsidRPr="00504D8F" w:rsidRDefault="007C59FE"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w:t>
      </w:r>
      <w:r w:rsidR="0019114F" w:rsidRPr="00504D8F">
        <w:rPr>
          <w:rFonts w:ascii="Tahoma" w:hAnsi="Tahoma" w:cs="Tahoma"/>
          <w:b/>
          <w:bCs/>
          <w:sz w:val="24"/>
          <w:szCs w:val="24"/>
        </w:rPr>
        <w:t>6</w:t>
      </w:r>
      <w:r w:rsidR="00C91D52" w:rsidRPr="00504D8F">
        <w:rPr>
          <w:rFonts w:ascii="Tahoma" w:hAnsi="Tahoma" w:cs="Tahoma"/>
          <w:bCs/>
          <w:sz w:val="24"/>
          <w:szCs w:val="24"/>
        </w:rPr>
        <w:t xml:space="preserve"> </w:t>
      </w:r>
      <w:r w:rsidR="00866BF0">
        <w:rPr>
          <w:rFonts w:ascii="Tahoma" w:hAnsi="Tahoma" w:cs="Tahoma"/>
          <w:bCs/>
          <w:sz w:val="24"/>
          <w:szCs w:val="24"/>
        </w:rPr>
        <w:tab/>
      </w:r>
      <w:r w:rsidR="00070996" w:rsidRPr="00504D8F">
        <w:rPr>
          <w:rFonts w:ascii="Tahoma" w:hAnsi="Tahoma" w:cs="Tahoma"/>
          <w:bCs/>
          <w:sz w:val="24"/>
          <w:szCs w:val="24"/>
        </w:rPr>
        <w:t xml:space="preserve">The Strategy </w:t>
      </w:r>
      <w:r w:rsidR="0095649E" w:rsidRPr="00504D8F">
        <w:rPr>
          <w:rFonts w:ascii="Tahoma" w:hAnsi="Tahoma" w:cs="Tahoma"/>
          <w:bCs/>
          <w:sz w:val="24"/>
          <w:szCs w:val="24"/>
        </w:rPr>
        <w:t xml:space="preserve">highlights what it terms </w:t>
      </w:r>
      <w:r w:rsidR="00EE4C79" w:rsidRPr="00504D8F">
        <w:rPr>
          <w:rFonts w:ascii="Tahoma" w:hAnsi="Tahoma" w:cs="Tahoma"/>
          <w:bCs/>
          <w:sz w:val="24"/>
          <w:szCs w:val="24"/>
        </w:rPr>
        <w:t>key messages</w:t>
      </w:r>
      <w:r w:rsidR="008664D2" w:rsidRPr="00504D8F">
        <w:rPr>
          <w:rFonts w:ascii="Tahoma" w:hAnsi="Tahoma" w:cs="Tahoma"/>
          <w:bCs/>
          <w:sz w:val="24"/>
          <w:szCs w:val="24"/>
        </w:rPr>
        <w:t xml:space="preserve"> and </w:t>
      </w:r>
      <w:r w:rsidR="00C91D52" w:rsidRPr="00504D8F">
        <w:rPr>
          <w:rFonts w:ascii="Tahoma" w:hAnsi="Tahoma" w:cs="Tahoma"/>
          <w:bCs/>
          <w:sz w:val="24"/>
          <w:szCs w:val="24"/>
        </w:rPr>
        <w:t xml:space="preserve">a number of these have </w:t>
      </w:r>
      <w:r w:rsidR="008664D2" w:rsidRPr="00504D8F">
        <w:rPr>
          <w:rFonts w:ascii="Tahoma" w:hAnsi="Tahoma" w:cs="Tahoma"/>
          <w:bCs/>
          <w:sz w:val="24"/>
          <w:szCs w:val="24"/>
        </w:rPr>
        <w:t xml:space="preserve">land use planning </w:t>
      </w:r>
      <w:r w:rsidR="00C91D52" w:rsidRPr="00504D8F">
        <w:rPr>
          <w:rFonts w:ascii="Tahoma" w:hAnsi="Tahoma" w:cs="Tahoma"/>
          <w:bCs/>
          <w:sz w:val="24"/>
          <w:szCs w:val="24"/>
        </w:rPr>
        <w:t>implications</w:t>
      </w:r>
      <w:r w:rsidR="008664D2" w:rsidRPr="00504D8F">
        <w:rPr>
          <w:rFonts w:ascii="Tahoma" w:hAnsi="Tahoma" w:cs="Tahoma"/>
          <w:bCs/>
          <w:sz w:val="24"/>
          <w:szCs w:val="24"/>
        </w:rPr>
        <w:t>:</w:t>
      </w:r>
    </w:p>
    <w:p w:rsidR="00EE4C79" w:rsidRPr="00504D8F" w:rsidRDefault="00EE4C79" w:rsidP="00B441D2">
      <w:pPr>
        <w:autoSpaceDE w:val="0"/>
        <w:autoSpaceDN w:val="0"/>
        <w:adjustRightInd w:val="0"/>
        <w:spacing w:after="0" w:line="240" w:lineRule="auto"/>
        <w:rPr>
          <w:rFonts w:ascii="Tahoma" w:hAnsi="Tahoma" w:cs="Tahoma"/>
          <w:bCs/>
          <w:sz w:val="24"/>
          <w:szCs w:val="24"/>
        </w:rPr>
      </w:pPr>
    </w:p>
    <w:p w:rsidR="00EE4C79" w:rsidRPr="00504D8F" w:rsidRDefault="00AC0F8A" w:rsidP="00435847">
      <w:pPr>
        <w:pStyle w:val="ListParagraph"/>
        <w:numPr>
          <w:ilvl w:val="0"/>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 xml:space="preserve">A </w:t>
      </w:r>
      <w:r w:rsidR="00953483" w:rsidRPr="00504D8F">
        <w:rPr>
          <w:rFonts w:ascii="Tahoma" w:hAnsi="Tahoma" w:cs="Tahoma"/>
          <w:bCs/>
          <w:sz w:val="24"/>
          <w:szCs w:val="24"/>
        </w:rPr>
        <w:t>p</w:t>
      </w:r>
      <w:r w:rsidR="00EE4C79" w:rsidRPr="00504D8F">
        <w:rPr>
          <w:rFonts w:ascii="Tahoma" w:hAnsi="Tahoma" w:cs="Tahoma"/>
          <w:bCs/>
          <w:sz w:val="24"/>
          <w:szCs w:val="24"/>
        </w:rPr>
        <w:t>otential cut in Corporation Tax from April 2017</w:t>
      </w:r>
      <w:r w:rsidR="0095649E" w:rsidRPr="00504D8F">
        <w:rPr>
          <w:rFonts w:ascii="Tahoma" w:hAnsi="Tahoma" w:cs="Tahoma"/>
          <w:bCs/>
          <w:sz w:val="24"/>
          <w:szCs w:val="24"/>
        </w:rPr>
        <w:t>, which</w:t>
      </w:r>
      <w:r w:rsidR="00EE4C79" w:rsidRPr="00504D8F">
        <w:rPr>
          <w:rFonts w:ascii="Tahoma" w:hAnsi="Tahoma" w:cs="Tahoma"/>
          <w:bCs/>
          <w:sz w:val="24"/>
          <w:szCs w:val="24"/>
        </w:rPr>
        <w:t xml:space="preserve"> presents a significant opportunity for Newry, </w:t>
      </w:r>
      <w:proofErr w:type="spellStart"/>
      <w:r w:rsidR="00EE4C79" w:rsidRPr="00504D8F">
        <w:rPr>
          <w:rFonts w:ascii="Tahoma" w:hAnsi="Tahoma" w:cs="Tahoma"/>
          <w:bCs/>
          <w:sz w:val="24"/>
          <w:szCs w:val="24"/>
        </w:rPr>
        <w:t>Mourne</w:t>
      </w:r>
      <w:proofErr w:type="spellEnd"/>
      <w:r w:rsidR="00EE4C79" w:rsidRPr="00504D8F">
        <w:rPr>
          <w:rFonts w:ascii="Tahoma" w:hAnsi="Tahoma" w:cs="Tahoma"/>
          <w:bCs/>
          <w:sz w:val="24"/>
          <w:szCs w:val="24"/>
        </w:rPr>
        <w:t xml:space="preserve"> and Down to compete with t</w:t>
      </w:r>
      <w:r w:rsidR="008F4637">
        <w:rPr>
          <w:rFonts w:ascii="Tahoma" w:hAnsi="Tahoma" w:cs="Tahoma"/>
          <w:bCs/>
          <w:sz w:val="24"/>
          <w:szCs w:val="24"/>
        </w:rPr>
        <w:t>he Republic</w:t>
      </w:r>
      <w:r w:rsidRPr="00504D8F">
        <w:rPr>
          <w:rFonts w:ascii="Tahoma" w:hAnsi="Tahoma" w:cs="Tahoma"/>
          <w:bCs/>
          <w:sz w:val="24"/>
          <w:szCs w:val="24"/>
        </w:rPr>
        <w:t xml:space="preserve"> of Ireland;</w:t>
      </w:r>
    </w:p>
    <w:p w:rsidR="0095649E" w:rsidRPr="00504D8F" w:rsidRDefault="0095649E" w:rsidP="00B441D2">
      <w:pPr>
        <w:pStyle w:val="ListParagraph"/>
        <w:numPr>
          <w:ilvl w:val="0"/>
          <w:numId w:val="19"/>
        </w:numPr>
        <w:autoSpaceDE w:val="0"/>
        <w:autoSpaceDN w:val="0"/>
        <w:adjustRightInd w:val="0"/>
        <w:spacing w:after="0" w:line="240" w:lineRule="auto"/>
        <w:rPr>
          <w:rFonts w:ascii="Tahoma" w:hAnsi="Tahoma" w:cs="Tahoma"/>
          <w:bCs/>
          <w:sz w:val="24"/>
          <w:szCs w:val="24"/>
        </w:rPr>
      </w:pPr>
      <w:r w:rsidRPr="00504D8F">
        <w:rPr>
          <w:rFonts w:ascii="Tahoma" w:hAnsi="Tahoma" w:cs="Tahoma"/>
          <w:bCs/>
          <w:sz w:val="24"/>
          <w:szCs w:val="24"/>
        </w:rPr>
        <w:t>Additional locational a</w:t>
      </w:r>
      <w:r w:rsidR="00EE4C79" w:rsidRPr="00504D8F">
        <w:rPr>
          <w:rFonts w:ascii="Tahoma" w:hAnsi="Tahoma" w:cs="Tahoma"/>
          <w:bCs/>
          <w:sz w:val="24"/>
          <w:szCs w:val="24"/>
        </w:rPr>
        <w:t>dvantage</w:t>
      </w:r>
      <w:r w:rsidR="00C91D52" w:rsidRPr="00504D8F">
        <w:rPr>
          <w:rFonts w:ascii="Tahoma" w:hAnsi="Tahoma" w:cs="Tahoma"/>
          <w:bCs/>
          <w:sz w:val="24"/>
          <w:szCs w:val="24"/>
        </w:rPr>
        <w:t>s</w:t>
      </w:r>
      <w:r w:rsidR="00EE4C79" w:rsidRPr="00504D8F">
        <w:rPr>
          <w:rFonts w:ascii="Tahoma" w:hAnsi="Tahoma" w:cs="Tahoma"/>
          <w:bCs/>
          <w:sz w:val="24"/>
          <w:szCs w:val="24"/>
        </w:rPr>
        <w:t xml:space="preserve"> </w:t>
      </w:r>
      <w:r w:rsidR="00EA2713">
        <w:rPr>
          <w:rFonts w:ascii="Tahoma" w:hAnsi="Tahoma" w:cs="Tahoma"/>
          <w:bCs/>
          <w:sz w:val="24"/>
          <w:szCs w:val="24"/>
        </w:rPr>
        <w:t xml:space="preserve">of Newry, </w:t>
      </w:r>
      <w:proofErr w:type="spellStart"/>
      <w:r w:rsidR="00EA2713">
        <w:rPr>
          <w:rFonts w:ascii="Tahoma" w:hAnsi="Tahoma" w:cs="Tahoma"/>
          <w:bCs/>
          <w:sz w:val="24"/>
          <w:szCs w:val="24"/>
        </w:rPr>
        <w:t>Mourne</w:t>
      </w:r>
      <w:proofErr w:type="spellEnd"/>
      <w:r w:rsidR="00EA2713">
        <w:rPr>
          <w:rFonts w:ascii="Tahoma" w:hAnsi="Tahoma" w:cs="Tahoma"/>
          <w:bCs/>
          <w:sz w:val="24"/>
          <w:szCs w:val="24"/>
        </w:rPr>
        <w:t xml:space="preserve"> and Down</w:t>
      </w:r>
      <w:r w:rsidRPr="00504D8F">
        <w:rPr>
          <w:rFonts w:ascii="Tahoma" w:hAnsi="Tahoma" w:cs="Tahoma"/>
          <w:bCs/>
          <w:sz w:val="24"/>
          <w:szCs w:val="24"/>
        </w:rPr>
        <w:t>;</w:t>
      </w:r>
    </w:p>
    <w:p w:rsidR="0095649E" w:rsidRPr="00504D8F" w:rsidRDefault="00EE4C79"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 xml:space="preserve">Newry </w:t>
      </w:r>
      <w:r w:rsidR="0095649E" w:rsidRPr="00504D8F">
        <w:rPr>
          <w:rFonts w:ascii="Tahoma" w:hAnsi="Tahoma" w:cs="Tahoma"/>
          <w:bCs/>
          <w:sz w:val="24"/>
          <w:szCs w:val="24"/>
        </w:rPr>
        <w:t xml:space="preserve">functioning </w:t>
      </w:r>
      <w:r w:rsidRPr="00504D8F">
        <w:rPr>
          <w:rFonts w:ascii="Tahoma" w:hAnsi="Tahoma" w:cs="Tahoma"/>
          <w:bCs/>
          <w:sz w:val="24"/>
          <w:szCs w:val="24"/>
        </w:rPr>
        <w:t xml:space="preserve">as a </w:t>
      </w:r>
      <w:r w:rsidR="008F4637">
        <w:rPr>
          <w:rFonts w:ascii="Tahoma" w:hAnsi="Tahoma" w:cs="Tahoma"/>
          <w:bCs/>
          <w:sz w:val="24"/>
          <w:szCs w:val="24"/>
        </w:rPr>
        <w:t>Gateway between NI and the Republic</w:t>
      </w:r>
      <w:r w:rsidRPr="00504D8F">
        <w:rPr>
          <w:rFonts w:ascii="Tahoma" w:hAnsi="Tahoma" w:cs="Tahoma"/>
          <w:bCs/>
          <w:sz w:val="24"/>
          <w:szCs w:val="24"/>
        </w:rPr>
        <w:t xml:space="preserve"> of Ireland</w:t>
      </w:r>
      <w:r w:rsidR="00953483" w:rsidRPr="00504D8F">
        <w:rPr>
          <w:rFonts w:ascii="Tahoma" w:hAnsi="Tahoma" w:cs="Tahoma"/>
          <w:bCs/>
          <w:sz w:val="24"/>
          <w:szCs w:val="24"/>
        </w:rPr>
        <w:t xml:space="preserve"> as well as its</w:t>
      </w:r>
      <w:r w:rsidR="0095649E" w:rsidRPr="00504D8F">
        <w:rPr>
          <w:rFonts w:ascii="Tahoma" w:hAnsi="Tahoma" w:cs="Tahoma"/>
          <w:bCs/>
          <w:sz w:val="24"/>
          <w:szCs w:val="24"/>
        </w:rPr>
        <w:t xml:space="preserve"> position along the Belfast-Dublin Economic Corridor</w:t>
      </w:r>
      <w:r w:rsidRPr="00504D8F">
        <w:rPr>
          <w:rFonts w:ascii="Tahoma" w:hAnsi="Tahoma" w:cs="Tahoma"/>
          <w:bCs/>
          <w:sz w:val="24"/>
          <w:szCs w:val="24"/>
        </w:rPr>
        <w:t xml:space="preserve">; </w:t>
      </w:r>
    </w:p>
    <w:p w:rsidR="0095649E" w:rsidRPr="00504D8F" w:rsidRDefault="00EE4C79"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Downpatrick</w:t>
      </w:r>
      <w:r w:rsidR="00953483" w:rsidRPr="00504D8F">
        <w:rPr>
          <w:rFonts w:ascii="Tahoma" w:hAnsi="Tahoma" w:cs="Tahoma"/>
          <w:bCs/>
          <w:sz w:val="24"/>
          <w:szCs w:val="24"/>
        </w:rPr>
        <w:t>’s</w:t>
      </w:r>
      <w:r w:rsidRPr="00504D8F">
        <w:rPr>
          <w:rFonts w:ascii="Tahoma" w:hAnsi="Tahoma" w:cs="Tahoma"/>
          <w:bCs/>
          <w:sz w:val="24"/>
          <w:szCs w:val="24"/>
        </w:rPr>
        <w:t xml:space="preserve"> </w:t>
      </w:r>
      <w:r w:rsidR="0095649E" w:rsidRPr="00504D8F">
        <w:rPr>
          <w:rFonts w:ascii="Tahoma" w:hAnsi="Tahoma" w:cs="Tahoma"/>
          <w:bCs/>
          <w:sz w:val="24"/>
          <w:szCs w:val="24"/>
        </w:rPr>
        <w:t>location within</w:t>
      </w:r>
      <w:r w:rsidRPr="00504D8F">
        <w:rPr>
          <w:rFonts w:ascii="Tahoma" w:hAnsi="Tahoma" w:cs="Tahoma"/>
          <w:bCs/>
          <w:sz w:val="24"/>
          <w:szCs w:val="24"/>
        </w:rPr>
        <w:t xml:space="preserve"> the Belfast Metropolitan A</w:t>
      </w:r>
      <w:r w:rsidR="0095649E" w:rsidRPr="00504D8F">
        <w:rPr>
          <w:rFonts w:ascii="Tahoma" w:hAnsi="Tahoma" w:cs="Tahoma"/>
          <w:bCs/>
          <w:sz w:val="24"/>
          <w:szCs w:val="24"/>
        </w:rPr>
        <w:t xml:space="preserve">rea Catchment Area; </w:t>
      </w:r>
    </w:p>
    <w:p w:rsidR="0095649E" w:rsidRPr="00504D8F" w:rsidRDefault="008664D2"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t</w:t>
      </w:r>
      <w:r w:rsidR="00EE4C79" w:rsidRPr="00504D8F">
        <w:rPr>
          <w:rFonts w:ascii="Tahoma" w:hAnsi="Tahoma" w:cs="Tahoma"/>
          <w:bCs/>
          <w:sz w:val="24"/>
          <w:szCs w:val="24"/>
        </w:rPr>
        <w:t xml:space="preserve">ourism assets with its three Areas of Outstanding Natural Beauty (AONB); </w:t>
      </w:r>
    </w:p>
    <w:p w:rsidR="0095649E" w:rsidRPr="00504D8F" w:rsidRDefault="008664D2"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r</w:t>
      </w:r>
      <w:r w:rsidR="0095649E" w:rsidRPr="00504D8F">
        <w:rPr>
          <w:rFonts w:ascii="Tahoma" w:hAnsi="Tahoma" w:cs="Tahoma"/>
          <w:bCs/>
          <w:sz w:val="24"/>
          <w:szCs w:val="24"/>
        </w:rPr>
        <w:t xml:space="preserve">oad and rail network; </w:t>
      </w:r>
    </w:p>
    <w:p w:rsidR="0095649E" w:rsidRPr="00504D8F" w:rsidRDefault="008664D2"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r w:rsidRPr="00504D8F">
        <w:rPr>
          <w:rFonts w:ascii="Tahoma" w:hAnsi="Tahoma" w:cs="Tahoma"/>
          <w:bCs/>
          <w:sz w:val="24"/>
          <w:szCs w:val="24"/>
        </w:rPr>
        <w:t>s</w:t>
      </w:r>
      <w:r w:rsidR="00EE4C79" w:rsidRPr="00504D8F">
        <w:rPr>
          <w:rFonts w:ascii="Tahoma" w:hAnsi="Tahoma" w:cs="Tahoma"/>
          <w:bCs/>
          <w:sz w:val="24"/>
          <w:szCs w:val="24"/>
        </w:rPr>
        <w:t xml:space="preserve">trategic importance of </w:t>
      </w:r>
      <w:proofErr w:type="spellStart"/>
      <w:r w:rsidR="00EE4C79" w:rsidRPr="00504D8F">
        <w:rPr>
          <w:rFonts w:ascii="Tahoma" w:hAnsi="Tahoma" w:cs="Tahoma"/>
          <w:bCs/>
          <w:sz w:val="24"/>
          <w:szCs w:val="24"/>
        </w:rPr>
        <w:t>Warrenpoint</w:t>
      </w:r>
      <w:proofErr w:type="spellEnd"/>
      <w:r w:rsidR="00EE4C79" w:rsidRPr="00504D8F">
        <w:rPr>
          <w:rFonts w:ascii="Tahoma" w:hAnsi="Tahoma" w:cs="Tahoma"/>
          <w:bCs/>
          <w:sz w:val="24"/>
          <w:szCs w:val="24"/>
        </w:rPr>
        <w:t xml:space="preserve"> Port; and </w:t>
      </w:r>
    </w:p>
    <w:p w:rsidR="00EE4C79" w:rsidRPr="00504D8F" w:rsidRDefault="0095649E" w:rsidP="00435847">
      <w:pPr>
        <w:pStyle w:val="ListParagraph"/>
        <w:numPr>
          <w:ilvl w:val="1"/>
          <w:numId w:val="19"/>
        </w:numPr>
        <w:autoSpaceDE w:val="0"/>
        <w:autoSpaceDN w:val="0"/>
        <w:adjustRightInd w:val="0"/>
        <w:spacing w:after="0" w:line="240" w:lineRule="auto"/>
        <w:jc w:val="both"/>
        <w:rPr>
          <w:rFonts w:ascii="Tahoma" w:hAnsi="Tahoma" w:cs="Tahoma"/>
          <w:bCs/>
          <w:sz w:val="24"/>
          <w:szCs w:val="24"/>
        </w:rPr>
      </w:pPr>
      <w:proofErr w:type="gramStart"/>
      <w:r w:rsidRPr="00504D8F">
        <w:rPr>
          <w:rFonts w:ascii="Tahoma" w:hAnsi="Tahoma" w:cs="Tahoma"/>
          <w:bCs/>
          <w:sz w:val="24"/>
          <w:szCs w:val="24"/>
        </w:rPr>
        <w:t>t</w:t>
      </w:r>
      <w:r w:rsidR="00EE4C79" w:rsidRPr="00504D8F">
        <w:rPr>
          <w:rFonts w:ascii="Tahoma" w:hAnsi="Tahoma" w:cs="Tahoma"/>
          <w:bCs/>
          <w:sz w:val="24"/>
          <w:szCs w:val="24"/>
        </w:rPr>
        <w:t>he</w:t>
      </w:r>
      <w:proofErr w:type="gramEnd"/>
      <w:r w:rsidR="00EE4C79" w:rsidRPr="00504D8F">
        <w:rPr>
          <w:rFonts w:ascii="Tahoma" w:hAnsi="Tahoma" w:cs="Tahoma"/>
          <w:bCs/>
          <w:sz w:val="24"/>
          <w:szCs w:val="24"/>
        </w:rPr>
        <w:t xml:space="preserve"> growth potential of the area through its four Hubs and Clusters.</w:t>
      </w:r>
    </w:p>
    <w:p w:rsidR="00C50B68" w:rsidRPr="00504D8F" w:rsidRDefault="00C50B68" w:rsidP="00B441D2">
      <w:pPr>
        <w:autoSpaceDE w:val="0"/>
        <w:autoSpaceDN w:val="0"/>
        <w:adjustRightInd w:val="0"/>
        <w:spacing w:after="0" w:line="240" w:lineRule="auto"/>
        <w:rPr>
          <w:rFonts w:ascii="Tahoma" w:hAnsi="Tahoma" w:cs="Tahoma"/>
          <w:bCs/>
          <w:sz w:val="24"/>
          <w:szCs w:val="24"/>
        </w:rPr>
      </w:pPr>
    </w:p>
    <w:p w:rsidR="00AC0F8A" w:rsidRPr="00504D8F" w:rsidRDefault="007C59FE"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w:t>
      </w:r>
      <w:r w:rsidR="0019114F" w:rsidRPr="00504D8F">
        <w:rPr>
          <w:rFonts w:ascii="Tahoma" w:hAnsi="Tahoma" w:cs="Tahoma"/>
          <w:b/>
          <w:bCs/>
          <w:sz w:val="24"/>
          <w:szCs w:val="24"/>
        </w:rPr>
        <w:t>7</w:t>
      </w:r>
      <w:r w:rsidR="00C91D52" w:rsidRPr="00504D8F">
        <w:rPr>
          <w:rFonts w:ascii="Tahoma" w:hAnsi="Tahoma" w:cs="Tahoma"/>
          <w:bCs/>
          <w:sz w:val="24"/>
          <w:szCs w:val="24"/>
        </w:rPr>
        <w:t xml:space="preserve"> </w:t>
      </w:r>
      <w:r w:rsidR="00866BF0">
        <w:rPr>
          <w:rFonts w:ascii="Tahoma" w:hAnsi="Tahoma" w:cs="Tahoma"/>
          <w:bCs/>
          <w:sz w:val="24"/>
          <w:szCs w:val="24"/>
        </w:rPr>
        <w:tab/>
      </w:r>
      <w:r w:rsidR="008664D2" w:rsidRPr="00504D8F">
        <w:rPr>
          <w:rFonts w:ascii="Tahoma" w:hAnsi="Tahoma" w:cs="Tahoma"/>
          <w:bCs/>
          <w:sz w:val="24"/>
          <w:szCs w:val="24"/>
        </w:rPr>
        <w:t>Within the Strategy five strategic themes address Economic Development, Tourism, Urban and Rural Development</w:t>
      </w:r>
      <w:r w:rsidR="008F4637">
        <w:rPr>
          <w:rFonts w:ascii="Tahoma" w:hAnsi="Tahoma" w:cs="Tahoma"/>
          <w:bCs/>
          <w:sz w:val="24"/>
          <w:szCs w:val="24"/>
        </w:rPr>
        <w:t>,</w:t>
      </w:r>
      <w:r w:rsidR="008664D2" w:rsidRPr="00504D8F">
        <w:rPr>
          <w:rFonts w:ascii="Tahoma" w:hAnsi="Tahoma" w:cs="Tahoma"/>
          <w:bCs/>
          <w:sz w:val="24"/>
          <w:szCs w:val="24"/>
        </w:rPr>
        <w:t xml:space="preserve"> and Regeneration</w:t>
      </w:r>
      <w:r w:rsidR="008F4637">
        <w:rPr>
          <w:rFonts w:ascii="Tahoma" w:hAnsi="Tahoma" w:cs="Tahoma"/>
          <w:bCs/>
          <w:sz w:val="24"/>
          <w:szCs w:val="24"/>
        </w:rPr>
        <w:t>,</w:t>
      </w:r>
      <w:r w:rsidR="008664D2" w:rsidRPr="00504D8F">
        <w:rPr>
          <w:rFonts w:ascii="Tahoma" w:hAnsi="Tahoma" w:cs="Tahoma"/>
          <w:bCs/>
          <w:sz w:val="24"/>
          <w:szCs w:val="24"/>
        </w:rPr>
        <w:t xml:space="preserve"> together with Culture and the Arts.</w:t>
      </w:r>
    </w:p>
    <w:p w:rsidR="00AC0F8A" w:rsidRPr="00504D8F" w:rsidRDefault="00AC0F8A" w:rsidP="00B441D2">
      <w:pPr>
        <w:autoSpaceDE w:val="0"/>
        <w:autoSpaceDN w:val="0"/>
        <w:adjustRightInd w:val="0"/>
        <w:spacing w:after="0" w:line="240" w:lineRule="auto"/>
        <w:rPr>
          <w:rFonts w:ascii="Tahoma" w:hAnsi="Tahoma" w:cs="Tahoma"/>
          <w:bCs/>
          <w:sz w:val="24"/>
          <w:szCs w:val="24"/>
        </w:rPr>
      </w:pPr>
    </w:p>
    <w:p w:rsidR="00F2362D" w:rsidRPr="00504D8F" w:rsidRDefault="007C59FE"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2.1</w:t>
      </w:r>
      <w:r w:rsidR="0019114F" w:rsidRPr="00504D8F">
        <w:rPr>
          <w:rFonts w:ascii="Tahoma" w:hAnsi="Tahoma" w:cs="Tahoma"/>
          <w:b/>
          <w:bCs/>
          <w:sz w:val="24"/>
          <w:szCs w:val="24"/>
        </w:rPr>
        <w:t>8</w:t>
      </w:r>
      <w:r w:rsidR="00866BF0">
        <w:rPr>
          <w:rFonts w:ascii="Tahoma" w:hAnsi="Tahoma" w:cs="Tahoma"/>
          <w:b/>
          <w:bCs/>
          <w:sz w:val="24"/>
          <w:szCs w:val="24"/>
        </w:rPr>
        <w:tab/>
      </w:r>
      <w:r w:rsidR="008664D2" w:rsidRPr="00504D8F">
        <w:rPr>
          <w:rFonts w:ascii="Tahoma" w:hAnsi="Tahoma" w:cs="Tahoma"/>
          <w:bCs/>
          <w:sz w:val="24"/>
          <w:szCs w:val="24"/>
        </w:rPr>
        <w:t>T</w:t>
      </w:r>
      <w:r w:rsidR="00F2362D" w:rsidRPr="00504D8F">
        <w:rPr>
          <w:rFonts w:ascii="Tahoma" w:hAnsi="Tahoma" w:cs="Tahoma"/>
          <w:bCs/>
          <w:sz w:val="24"/>
          <w:szCs w:val="24"/>
        </w:rPr>
        <w:t xml:space="preserve">he Economic Development theme </w:t>
      </w:r>
      <w:r w:rsidR="008664D2" w:rsidRPr="00504D8F">
        <w:rPr>
          <w:rFonts w:ascii="Tahoma" w:hAnsi="Tahoma" w:cs="Tahoma"/>
          <w:bCs/>
          <w:sz w:val="24"/>
          <w:szCs w:val="24"/>
        </w:rPr>
        <w:t xml:space="preserve">is of particular relevance to this paper and in particular the </w:t>
      </w:r>
      <w:r w:rsidR="00F2362D" w:rsidRPr="00504D8F">
        <w:rPr>
          <w:rFonts w:ascii="Tahoma" w:hAnsi="Tahoma" w:cs="Tahoma"/>
          <w:bCs/>
          <w:sz w:val="24"/>
          <w:szCs w:val="24"/>
        </w:rPr>
        <w:t>strategic priority</w:t>
      </w:r>
      <w:r w:rsidR="008664D2" w:rsidRPr="00504D8F">
        <w:rPr>
          <w:rFonts w:ascii="Tahoma" w:hAnsi="Tahoma" w:cs="Tahoma"/>
          <w:bCs/>
          <w:sz w:val="24"/>
          <w:szCs w:val="24"/>
        </w:rPr>
        <w:t xml:space="preserve"> of the Council to establish</w:t>
      </w:r>
      <w:r w:rsidR="0073577C" w:rsidRPr="00504D8F">
        <w:rPr>
          <w:rFonts w:ascii="Tahoma" w:hAnsi="Tahoma" w:cs="Tahoma"/>
          <w:bCs/>
          <w:sz w:val="24"/>
          <w:szCs w:val="24"/>
        </w:rPr>
        <w:t xml:space="preserve"> effective and business friendly approaches to the planning process. One of the associated actions under this strategic priority is to review land use and infrastructure development to inform the Local Development Plan.</w:t>
      </w:r>
      <w:r w:rsidR="00C50B68" w:rsidRPr="00504D8F">
        <w:rPr>
          <w:rFonts w:ascii="Tahoma" w:hAnsi="Tahoma" w:cs="Tahoma"/>
          <w:bCs/>
          <w:sz w:val="24"/>
          <w:szCs w:val="24"/>
        </w:rPr>
        <w:t xml:space="preserve"> This paper represents </w:t>
      </w:r>
      <w:r w:rsidR="00070996" w:rsidRPr="00504D8F">
        <w:rPr>
          <w:rFonts w:ascii="Tahoma" w:hAnsi="Tahoma" w:cs="Tahoma"/>
          <w:bCs/>
          <w:sz w:val="24"/>
          <w:szCs w:val="24"/>
        </w:rPr>
        <w:t>the first stage in a</w:t>
      </w:r>
      <w:r w:rsidR="00C50B68" w:rsidRPr="00504D8F">
        <w:rPr>
          <w:rFonts w:ascii="Tahoma" w:hAnsi="Tahoma" w:cs="Tahoma"/>
          <w:bCs/>
          <w:sz w:val="24"/>
          <w:szCs w:val="24"/>
        </w:rPr>
        <w:t xml:space="preserve"> review of the provision of economi</w:t>
      </w:r>
      <w:r w:rsidR="00B450BA" w:rsidRPr="00504D8F">
        <w:rPr>
          <w:rFonts w:ascii="Tahoma" w:hAnsi="Tahoma" w:cs="Tahoma"/>
          <w:bCs/>
          <w:sz w:val="24"/>
          <w:szCs w:val="24"/>
        </w:rPr>
        <w:t>c development lands across the D</w:t>
      </w:r>
      <w:r w:rsidR="00C50B68" w:rsidRPr="00504D8F">
        <w:rPr>
          <w:rFonts w:ascii="Tahoma" w:hAnsi="Tahoma" w:cs="Tahoma"/>
          <w:bCs/>
          <w:sz w:val="24"/>
          <w:szCs w:val="24"/>
        </w:rPr>
        <w:t xml:space="preserve">istrict and will examine both the level of provision </w:t>
      </w:r>
      <w:r w:rsidR="008664D2" w:rsidRPr="00504D8F">
        <w:rPr>
          <w:rFonts w:ascii="Tahoma" w:hAnsi="Tahoma" w:cs="Tahoma"/>
          <w:bCs/>
          <w:sz w:val="24"/>
          <w:szCs w:val="24"/>
        </w:rPr>
        <w:t xml:space="preserve">of zoned economic land </w:t>
      </w:r>
      <w:r w:rsidR="001A54C3" w:rsidRPr="00504D8F">
        <w:rPr>
          <w:rFonts w:ascii="Tahoma" w:hAnsi="Tahoma" w:cs="Tahoma"/>
          <w:bCs/>
          <w:sz w:val="24"/>
          <w:szCs w:val="24"/>
        </w:rPr>
        <w:t>as well as its</w:t>
      </w:r>
      <w:r w:rsidR="00C50B68" w:rsidRPr="00504D8F">
        <w:rPr>
          <w:rFonts w:ascii="Tahoma" w:hAnsi="Tahoma" w:cs="Tahoma"/>
          <w:bCs/>
          <w:sz w:val="24"/>
          <w:szCs w:val="24"/>
        </w:rPr>
        <w:t xml:space="preserve"> distribution across the Council area.</w:t>
      </w:r>
    </w:p>
    <w:p w:rsidR="00E75DB8" w:rsidRDefault="00E75DB8" w:rsidP="00B441D2">
      <w:pPr>
        <w:autoSpaceDE w:val="0"/>
        <w:autoSpaceDN w:val="0"/>
        <w:adjustRightInd w:val="0"/>
        <w:spacing w:after="0" w:line="240" w:lineRule="auto"/>
        <w:rPr>
          <w:rFonts w:ascii="Arial" w:hAnsi="Arial" w:cs="Arial"/>
          <w:b/>
          <w:bCs/>
          <w:sz w:val="28"/>
          <w:szCs w:val="28"/>
        </w:rPr>
      </w:pPr>
    </w:p>
    <w:p w:rsidR="00E75DB8" w:rsidRDefault="00E75DB8"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C4706C" w:rsidRDefault="00C4706C" w:rsidP="00B441D2">
      <w:pPr>
        <w:autoSpaceDE w:val="0"/>
        <w:autoSpaceDN w:val="0"/>
        <w:adjustRightInd w:val="0"/>
        <w:spacing w:after="0" w:line="240" w:lineRule="auto"/>
        <w:rPr>
          <w:rFonts w:ascii="Arial" w:hAnsi="Arial" w:cs="Arial"/>
          <w:b/>
          <w:bCs/>
          <w:sz w:val="28"/>
          <w:szCs w:val="28"/>
        </w:rPr>
      </w:pPr>
    </w:p>
    <w:p w:rsidR="00435847" w:rsidRDefault="00435847" w:rsidP="00B441D2">
      <w:pPr>
        <w:autoSpaceDE w:val="0"/>
        <w:autoSpaceDN w:val="0"/>
        <w:adjustRightInd w:val="0"/>
        <w:spacing w:after="0" w:line="240" w:lineRule="auto"/>
        <w:rPr>
          <w:rFonts w:ascii="Tahoma" w:hAnsi="Tahoma" w:cs="Tahoma"/>
          <w:b/>
          <w:bCs/>
          <w:sz w:val="24"/>
          <w:szCs w:val="24"/>
        </w:rPr>
      </w:pPr>
    </w:p>
    <w:p w:rsidR="00B441D2" w:rsidRPr="00504D8F" w:rsidRDefault="00B441D2" w:rsidP="00B441D2">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lastRenderedPageBreak/>
        <w:t xml:space="preserve">3.0 </w:t>
      </w:r>
      <w:r w:rsidR="00435847">
        <w:rPr>
          <w:rFonts w:ascii="Tahoma" w:hAnsi="Tahoma" w:cs="Tahoma"/>
          <w:b/>
          <w:bCs/>
          <w:sz w:val="24"/>
          <w:szCs w:val="24"/>
        </w:rPr>
        <w:tab/>
      </w:r>
      <w:r w:rsidRPr="00504D8F">
        <w:rPr>
          <w:rFonts w:ascii="Tahoma" w:hAnsi="Tahoma" w:cs="Tahoma"/>
          <w:b/>
          <w:bCs/>
          <w:sz w:val="24"/>
          <w:szCs w:val="24"/>
        </w:rPr>
        <w:t xml:space="preserve">A Socio-Economic Profile of </w:t>
      </w:r>
      <w:r w:rsidR="008738BB" w:rsidRPr="00504D8F">
        <w:rPr>
          <w:rFonts w:ascii="Tahoma" w:hAnsi="Tahoma" w:cs="Tahoma"/>
          <w:b/>
          <w:bCs/>
          <w:sz w:val="24"/>
          <w:szCs w:val="24"/>
        </w:rPr>
        <w:t xml:space="preserve">Newry, </w:t>
      </w:r>
      <w:proofErr w:type="spellStart"/>
      <w:r w:rsidR="008738BB" w:rsidRPr="00504D8F">
        <w:rPr>
          <w:rFonts w:ascii="Tahoma" w:hAnsi="Tahoma" w:cs="Tahoma"/>
          <w:b/>
          <w:bCs/>
          <w:sz w:val="24"/>
          <w:szCs w:val="24"/>
        </w:rPr>
        <w:t>Mourne</w:t>
      </w:r>
      <w:proofErr w:type="spellEnd"/>
      <w:r w:rsidR="008738BB" w:rsidRPr="00504D8F">
        <w:rPr>
          <w:rFonts w:ascii="Tahoma" w:hAnsi="Tahoma" w:cs="Tahoma"/>
          <w:b/>
          <w:bCs/>
          <w:sz w:val="24"/>
          <w:szCs w:val="24"/>
        </w:rPr>
        <w:t xml:space="preserve"> and Down</w:t>
      </w:r>
    </w:p>
    <w:p w:rsidR="00550A4F" w:rsidRDefault="00550A4F" w:rsidP="00B441D2">
      <w:pPr>
        <w:autoSpaceDE w:val="0"/>
        <w:autoSpaceDN w:val="0"/>
        <w:adjustRightInd w:val="0"/>
        <w:spacing w:after="0" w:line="240" w:lineRule="auto"/>
        <w:rPr>
          <w:rFonts w:ascii="Tahoma" w:hAnsi="Tahoma" w:cs="Tahoma"/>
          <w:b/>
          <w:bCs/>
          <w:sz w:val="24"/>
          <w:szCs w:val="24"/>
        </w:rPr>
      </w:pPr>
    </w:p>
    <w:p w:rsidR="00C4706C" w:rsidRPr="00504D8F" w:rsidRDefault="00C4706C" w:rsidP="00B441D2">
      <w:pPr>
        <w:autoSpaceDE w:val="0"/>
        <w:autoSpaceDN w:val="0"/>
        <w:adjustRightInd w:val="0"/>
        <w:spacing w:after="0" w:line="240" w:lineRule="auto"/>
        <w:rPr>
          <w:rFonts w:ascii="Tahoma" w:hAnsi="Tahoma" w:cs="Tahoma"/>
          <w:b/>
          <w:bCs/>
          <w:sz w:val="24"/>
          <w:szCs w:val="24"/>
        </w:rPr>
      </w:pPr>
    </w:p>
    <w:p w:rsidR="00B441D2" w:rsidRPr="00504D8F" w:rsidRDefault="00B441D2"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 xml:space="preserve">3.1 </w:t>
      </w:r>
      <w:r w:rsidR="00866BF0">
        <w:rPr>
          <w:rFonts w:ascii="Tahoma" w:hAnsi="Tahoma" w:cs="Tahoma"/>
          <w:b/>
          <w:bCs/>
          <w:sz w:val="24"/>
          <w:szCs w:val="24"/>
        </w:rPr>
        <w:tab/>
      </w:r>
      <w:r w:rsidRPr="00504D8F">
        <w:rPr>
          <w:rFonts w:ascii="Tahoma" w:hAnsi="Tahoma" w:cs="Tahoma"/>
          <w:sz w:val="24"/>
          <w:szCs w:val="24"/>
        </w:rPr>
        <w:t>This section provides an overview of the employment and economic base of</w:t>
      </w:r>
    </w:p>
    <w:p w:rsidR="00B441D2" w:rsidRPr="00504D8F" w:rsidRDefault="00B441D2" w:rsidP="008E411D">
      <w:pPr>
        <w:autoSpaceDE w:val="0"/>
        <w:autoSpaceDN w:val="0"/>
        <w:adjustRightInd w:val="0"/>
        <w:spacing w:after="0" w:line="240" w:lineRule="auto"/>
        <w:jc w:val="both"/>
        <w:rPr>
          <w:rFonts w:ascii="Tahoma" w:hAnsi="Tahoma" w:cs="Tahoma"/>
          <w:sz w:val="24"/>
          <w:szCs w:val="24"/>
        </w:rPr>
      </w:pPr>
      <w:proofErr w:type="gramStart"/>
      <w:r w:rsidRPr="00504D8F">
        <w:rPr>
          <w:rFonts w:ascii="Tahoma" w:hAnsi="Tahoma" w:cs="Tahoma"/>
          <w:sz w:val="24"/>
          <w:szCs w:val="24"/>
        </w:rPr>
        <w:t>the</w:t>
      </w:r>
      <w:proofErr w:type="gramEnd"/>
      <w:r w:rsidRPr="00504D8F">
        <w:rPr>
          <w:rFonts w:ascii="Tahoma" w:hAnsi="Tahoma" w:cs="Tahoma"/>
          <w:sz w:val="24"/>
          <w:szCs w:val="24"/>
        </w:rPr>
        <w:t xml:space="preserve"> </w:t>
      </w:r>
      <w:r w:rsidR="008738BB" w:rsidRPr="00504D8F">
        <w:rPr>
          <w:rFonts w:ascii="Tahoma" w:hAnsi="Tahoma" w:cs="Tahoma"/>
          <w:sz w:val="24"/>
          <w:szCs w:val="24"/>
        </w:rPr>
        <w:t xml:space="preserve">Newry, </w:t>
      </w:r>
      <w:proofErr w:type="spellStart"/>
      <w:r w:rsidR="008738BB" w:rsidRPr="00504D8F">
        <w:rPr>
          <w:rFonts w:ascii="Tahoma" w:hAnsi="Tahoma" w:cs="Tahoma"/>
          <w:sz w:val="24"/>
          <w:szCs w:val="24"/>
        </w:rPr>
        <w:t>Mourne</w:t>
      </w:r>
      <w:proofErr w:type="spellEnd"/>
      <w:r w:rsidR="008738BB" w:rsidRPr="00504D8F">
        <w:rPr>
          <w:rFonts w:ascii="Tahoma" w:hAnsi="Tahoma" w:cs="Tahoma"/>
          <w:sz w:val="24"/>
          <w:szCs w:val="24"/>
        </w:rPr>
        <w:t xml:space="preserve"> and Down</w:t>
      </w:r>
      <w:r w:rsidRPr="00504D8F">
        <w:rPr>
          <w:rFonts w:ascii="Tahoma" w:hAnsi="Tahoma" w:cs="Tahoma"/>
          <w:sz w:val="24"/>
          <w:szCs w:val="24"/>
        </w:rPr>
        <w:t xml:space="preserve"> council area within the context of the Northern Ireland</w:t>
      </w:r>
      <w:r w:rsidR="00977197" w:rsidRPr="00504D8F">
        <w:rPr>
          <w:rFonts w:ascii="Tahoma" w:hAnsi="Tahoma" w:cs="Tahoma"/>
          <w:sz w:val="24"/>
          <w:szCs w:val="24"/>
        </w:rPr>
        <w:t xml:space="preserve"> </w:t>
      </w:r>
      <w:r w:rsidRPr="00504D8F">
        <w:rPr>
          <w:rFonts w:ascii="Tahoma" w:hAnsi="Tahoma" w:cs="Tahoma"/>
          <w:sz w:val="24"/>
          <w:szCs w:val="24"/>
        </w:rPr>
        <w:t>economy, and examines employment sectors, unemployment and economic</w:t>
      </w:r>
    </w:p>
    <w:p w:rsidR="00B441D2" w:rsidRPr="00504D8F" w:rsidRDefault="00B441D2" w:rsidP="008E411D">
      <w:pPr>
        <w:autoSpaceDE w:val="0"/>
        <w:autoSpaceDN w:val="0"/>
        <w:adjustRightInd w:val="0"/>
        <w:spacing w:after="0" w:line="240" w:lineRule="auto"/>
        <w:jc w:val="both"/>
        <w:rPr>
          <w:rFonts w:ascii="Tahoma" w:hAnsi="Tahoma" w:cs="Tahoma"/>
          <w:sz w:val="24"/>
          <w:szCs w:val="24"/>
        </w:rPr>
      </w:pPr>
      <w:proofErr w:type="gramStart"/>
      <w:r w:rsidRPr="00504D8F">
        <w:rPr>
          <w:rFonts w:ascii="Tahoma" w:hAnsi="Tahoma" w:cs="Tahoma"/>
          <w:sz w:val="24"/>
          <w:szCs w:val="24"/>
        </w:rPr>
        <w:t>activity</w:t>
      </w:r>
      <w:proofErr w:type="gramEnd"/>
      <w:r w:rsidRPr="00504D8F">
        <w:rPr>
          <w:rFonts w:ascii="Tahoma" w:hAnsi="Tahoma" w:cs="Tahoma"/>
          <w:sz w:val="24"/>
          <w:szCs w:val="24"/>
        </w:rPr>
        <w:t xml:space="preserve"> rates.</w:t>
      </w:r>
    </w:p>
    <w:p w:rsidR="00866BF0" w:rsidRDefault="00866BF0" w:rsidP="00B441D2">
      <w:pPr>
        <w:autoSpaceDE w:val="0"/>
        <w:autoSpaceDN w:val="0"/>
        <w:adjustRightInd w:val="0"/>
        <w:spacing w:after="0" w:line="240" w:lineRule="auto"/>
        <w:rPr>
          <w:rFonts w:ascii="Tahoma" w:hAnsi="Tahoma" w:cs="Tahoma"/>
          <w:b/>
          <w:bCs/>
          <w:sz w:val="24"/>
          <w:szCs w:val="24"/>
        </w:rPr>
      </w:pPr>
    </w:p>
    <w:p w:rsidR="00B441D2" w:rsidRPr="00504D8F" w:rsidRDefault="00B441D2" w:rsidP="00B441D2">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Overview of Northern Ireland Economy</w:t>
      </w:r>
    </w:p>
    <w:p w:rsidR="008738BB" w:rsidRPr="00504D8F" w:rsidRDefault="008738BB" w:rsidP="00B441D2">
      <w:pPr>
        <w:autoSpaceDE w:val="0"/>
        <w:autoSpaceDN w:val="0"/>
        <w:adjustRightInd w:val="0"/>
        <w:spacing w:after="0" w:line="240" w:lineRule="auto"/>
        <w:rPr>
          <w:rFonts w:ascii="Tahoma" w:hAnsi="Tahoma" w:cs="Tahoma"/>
          <w:b/>
          <w:bCs/>
          <w:sz w:val="24"/>
          <w:szCs w:val="24"/>
        </w:rPr>
      </w:pPr>
    </w:p>
    <w:p w:rsidR="00B441D2" w:rsidRPr="00504D8F" w:rsidRDefault="00B441D2"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 xml:space="preserve">3.2 </w:t>
      </w:r>
      <w:r w:rsidR="00866BF0">
        <w:rPr>
          <w:rFonts w:ascii="Tahoma" w:hAnsi="Tahoma" w:cs="Tahoma"/>
          <w:b/>
          <w:bCs/>
          <w:sz w:val="24"/>
          <w:szCs w:val="24"/>
        </w:rPr>
        <w:tab/>
      </w:r>
      <w:r w:rsidRPr="00504D8F">
        <w:rPr>
          <w:rFonts w:ascii="Tahoma" w:hAnsi="Tahoma" w:cs="Tahoma"/>
          <w:sz w:val="24"/>
          <w:szCs w:val="24"/>
        </w:rPr>
        <w:t>It is a widespread view that Northern Ireland has suffered from the recession</w:t>
      </w:r>
    </w:p>
    <w:p w:rsidR="00550A4F" w:rsidRDefault="00B441D2" w:rsidP="008E411D">
      <w:pPr>
        <w:autoSpaceDE w:val="0"/>
        <w:autoSpaceDN w:val="0"/>
        <w:adjustRightInd w:val="0"/>
        <w:spacing w:after="0" w:line="240" w:lineRule="auto"/>
        <w:jc w:val="both"/>
        <w:rPr>
          <w:rFonts w:ascii="Tahoma" w:hAnsi="Tahoma" w:cs="Tahoma"/>
          <w:sz w:val="24"/>
          <w:szCs w:val="24"/>
        </w:rPr>
      </w:pPr>
      <w:proofErr w:type="gramStart"/>
      <w:r w:rsidRPr="00504D8F">
        <w:rPr>
          <w:rFonts w:ascii="Tahoma" w:hAnsi="Tahoma" w:cs="Tahoma"/>
          <w:sz w:val="24"/>
          <w:szCs w:val="24"/>
        </w:rPr>
        <w:t>to</w:t>
      </w:r>
      <w:proofErr w:type="gramEnd"/>
      <w:r w:rsidRPr="00504D8F">
        <w:rPr>
          <w:rFonts w:ascii="Tahoma" w:hAnsi="Tahoma" w:cs="Tahoma"/>
          <w:sz w:val="24"/>
          <w:szCs w:val="24"/>
        </w:rPr>
        <w:t xml:space="preserve"> a greater extent than any other UK regio</w:t>
      </w:r>
      <w:r w:rsidR="005D3A0A">
        <w:rPr>
          <w:rFonts w:ascii="Tahoma" w:hAnsi="Tahoma" w:cs="Tahoma"/>
          <w:sz w:val="24"/>
          <w:szCs w:val="24"/>
        </w:rPr>
        <w:t xml:space="preserve">n. Recovery in the labour market </w:t>
      </w:r>
      <w:r w:rsidRPr="00504D8F">
        <w:rPr>
          <w:rFonts w:ascii="Tahoma" w:hAnsi="Tahoma" w:cs="Tahoma"/>
          <w:sz w:val="24"/>
          <w:szCs w:val="24"/>
        </w:rPr>
        <w:t>has been slow and employment is not expected to recover to its pre-recession</w:t>
      </w:r>
      <w:r w:rsidR="005D3A0A">
        <w:rPr>
          <w:rFonts w:ascii="Tahoma" w:hAnsi="Tahoma" w:cs="Tahoma"/>
          <w:sz w:val="24"/>
          <w:szCs w:val="24"/>
        </w:rPr>
        <w:t xml:space="preserve"> </w:t>
      </w:r>
      <w:r w:rsidRPr="00504D8F">
        <w:rPr>
          <w:rFonts w:ascii="Tahoma" w:hAnsi="Tahoma" w:cs="Tahoma"/>
          <w:sz w:val="24"/>
          <w:szCs w:val="24"/>
        </w:rPr>
        <w:t>peak until well beyond 2023</w:t>
      </w:r>
      <w:r w:rsidR="008738BB" w:rsidRPr="00504D8F">
        <w:rPr>
          <w:rStyle w:val="FootnoteReference"/>
          <w:rFonts w:ascii="Tahoma" w:hAnsi="Tahoma" w:cs="Tahoma"/>
          <w:sz w:val="24"/>
          <w:szCs w:val="24"/>
        </w:rPr>
        <w:footnoteReference w:id="3"/>
      </w:r>
      <w:r w:rsidRPr="00504D8F">
        <w:rPr>
          <w:rFonts w:ascii="Tahoma" w:hAnsi="Tahoma" w:cs="Tahoma"/>
          <w:sz w:val="24"/>
          <w:szCs w:val="24"/>
        </w:rPr>
        <w:t>. Similar to trends in the UK overall,</w:t>
      </w:r>
      <w:r w:rsidR="00550A4F" w:rsidRPr="00504D8F">
        <w:rPr>
          <w:rFonts w:ascii="Tahoma" w:hAnsi="Tahoma" w:cs="Tahoma"/>
          <w:sz w:val="24"/>
          <w:szCs w:val="24"/>
        </w:rPr>
        <w:t xml:space="preserve"> manufacturing employment is expected to continue declining with a shift towards more exportable service sectors such as administrative and professional services, software and ICT, scientific/technical and retail to drive job creation. The Knowledge Economy</w:t>
      </w:r>
      <w:r w:rsidR="007F289B" w:rsidRPr="00504D8F">
        <w:rPr>
          <w:rStyle w:val="FootnoteReference"/>
          <w:rFonts w:ascii="Tahoma" w:hAnsi="Tahoma" w:cs="Tahoma"/>
          <w:sz w:val="24"/>
          <w:szCs w:val="24"/>
        </w:rPr>
        <w:footnoteReference w:id="4"/>
      </w:r>
      <w:r w:rsidR="00550A4F" w:rsidRPr="00504D8F">
        <w:rPr>
          <w:rFonts w:ascii="Tahoma" w:hAnsi="Tahoma" w:cs="Tahoma"/>
          <w:sz w:val="24"/>
          <w:szCs w:val="24"/>
        </w:rPr>
        <w:t xml:space="preserve"> is an important and growing component of the local economy and increased output with less employment reflects the changing role of manufacturing. The Knowledge Economy includes a broad range of sectors including:</w:t>
      </w:r>
    </w:p>
    <w:p w:rsidR="00504D8F" w:rsidRPr="00504D8F" w:rsidRDefault="00504D8F" w:rsidP="00550A4F">
      <w:pPr>
        <w:autoSpaceDE w:val="0"/>
        <w:autoSpaceDN w:val="0"/>
        <w:adjustRightInd w:val="0"/>
        <w:spacing w:after="0" w:line="240" w:lineRule="auto"/>
        <w:rPr>
          <w:rFonts w:ascii="Tahoma" w:hAnsi="Tahoma" w:cs="Tahoma"/>
          <w:sz w:val="24"/>
          <w:szCs w:val="24"/>
        </w:rPr>
      </w:pPr>
    </w:p>
    <w:p w:rsidR="00550A4F" w:rsidRPr="00504D8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IT services and telecommunications;</w:t>
      </w:r>
    </w:p>
    <w:p w:rsidR="00550A4F" w:rsidRPr="00504D8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Creative content and digital media;</w:t>
      </w:r>
    </w:p>
    <w:p w:rsidR="00550A4F" w:rsidRPr="00504D8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Computing and advanced electronics;</w:t>
      </w:r>
    </w:p>
    <w:p w:rsidR="00550A4F" w:rsidRPr="00504D8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Software and digital content;</w:t>
      </w:r>
    </w:p>
    <w:p w:rsidR="00550A4F" w:rsidRPr="00504D8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Pharmaceuticals, biotechnology and medical services; and</w:t>
      </w:r>
    </w:p>
    <w:p w:rsidR="00550A4F" w:rsidRDefault="00550A4F" w:rsidP="00550A4F">
      <w:pPr>
        <w:pStyle w:val="ListParagraph"/>
        <w:numPr>
          <w:ilvl w:val="0"/>
          <w:numId w:val="4"/>
        </w:numPr>
        <w:autoSpaceDE w:val="0"/>
        <w:autoSpaceDN w:val="0"/>
        <w:adjustRightInd w:val="0"/>
        <w:spacing w:after="0" w:line="240" w:lineRule="auto"/>
        <w:rPr>
          <w:rFonts w:ascii="Tahoma" w:hAnsi="Tahoma" w:cs="Tahoma"/>
          <w:sz w:val="24"/>
          <w:szCs w:val="24"/>
        </w:rPr>
      </w:pPr>
      <w:r w:rsidRPr="00504D8F">
        <w:rPr>
          <w:rFonts w:ascii="Tahoma" w:hAnsi="Tahoma" w:cs="Tahoma"/>
          <w:sz w:val="24"/>
          <w:szCs w:val="24"/>
        </w:rPr>
        <w:t>Aerospace and other transport equipment.</w:t>
      </w:r>
      <w:r w:rsidR="008738BB" w:rsidRPr="00504D8F">
        <w:rPr>
          <w:rStyle w:val="FootnoteReference"/>
          <w:rFonts w:ascii="Tahoma" w:hAnsi="Tahoma" w:cs="Tahoma"/>
          <w:sz w:val="24"/>
          <w:szCs w:val="24"/>
        </w:rPr>
        <w:footnoteReference w:id="5"/>
      </w:r>
    </w:p>
    <w:p w:rsidR="00504D8F" w:rsidRPr="00504D8F" w:rsidRDefault="00504D8F" w:rsidP="008E411D">
      <w:pPr>
        <w:pStyle w:val="ListParagraph"/>
        <w:autoSpaceDE w:val="0"/>
        <w:autoSpaceDN w:val="0"/>
        <w:adjustRightInd w:val="0"/>
        <w:spacing w:after="0" w:line="240" w:lineRule="auto"/>
        <w:rPr>
          <w:rFonts w:ascii="Tahoma" w:hAnsi="Tahoma" w:cs="Tahoma"/>
          <w:sz w:val="24"/>
          <w:szCs w:val="24"/>
        </w:rPr>
      </w:pPr>
    </w:p>
    <w:p w:rsidR="000C5C63" w:rsidRPr="00504D8F" w:rsidRDefault="00550A4F" w:rsidP="00261D78">
      <w:pPr>
        <w:autoSpaceDE w:val="0"/>
        <w:autoSpaceDN w:val="0"/>
        <w:adjustRightInd w:val="0"/>
        <w:spacing w:after="0" w:line="240" w:lineRule="auto"/>
        <w:rPr>
          <w:rFonts w:ascii="Tahoma" w:hAnsi="Tahoma" w:cs="Tahoma"/>
          <w:color w:val="FFFFFF"/>
          <w:sz w:val="24"/>
          <w:szCs w:val="24"/>
        </w:rPr>
      </w:pPr>
      <w:r w:rsidRPr="00504D8F">
        <w:rPr>
          <w:rFonts w:ascii="Tahoma" w:hAnsi="Tahoma" w:cs="Tahoma"/>
          <w:sz w:val="24"/>
          <w:szCs w:val="24"/>
        </w:rPr>
        <w:t>Other growth areas include environmentally sustainable products including</w:t>
      </w:r>
      <w:r w:rsidR="00977197" w:rsidRPr="00504D8F">
        <w:rPr>
          <w:rFonts w:ascii="Tahoma" w:hAnsi="Tahoma" w:cs="Tahoma"/>
          <w:sz w:val="24"/>
          <w:szCs w:val="24"/>
        </w:rPr>
        <w:t xml:space="preserve"> </w:t>
      </w:r>
      <w:r w:rsidRPr="00504D8F">
        <w:rPr>
          <w:rFonts w:ascii="Tahoma" w:hAnsi="Tahoma" w:cs="Tahoma"/>
          <w:sz w:val="24"/>
          <w:szCs w:val="24"/>
        </w:rPr>
        <w:t xml:space="preserve">recycling activities and those linked to renewable energy; and the </w:t>
      </w:r>
      <w:proofErr w:type="spellStart"/>
      <w:r w:rsidRPr="00504D8F">
        <w:rPr>
          <w:rFonts w:ascii="Tahoma" w:hAnsi="Tahoma" w:cs="Tahoma"/>
          <w:sz w:val="24"/>
          <w:szCs w:val="24"/>
        </w:rPr>
        <w:t>agri</w:t>
      </w:r>
      <w:proofErr w:type="spellEnd"/>
      <w:r w:rsidRPr="00504D8F">
        <w:rPr>
          <w:rFonts w:ascii="Tahoma" w:hAnsi="Tahoma" w:cs="Tahoma"/>
          <w:sz w:val="24"/>
          <w:szCs w:val="24"/>
        </w:rPr>
        <w:t>-food</w:t>
      </w:r>
      <w:r w:rsidR="00977197" w:rsidRPr="00504D8F">
        <w:rPr>
          <w:rFonts w:ascii="Tahoma" w:hAnsi="Tahoma" w:cs="Tahoma"/>
          <w:sz w:val="24"/>
          <w:szCs w:val="24"/>
        </w:rPr>
        <w:t xml:space="preserve"> </w:t>
      </w:r>
      <w:proofErr w:type="spellStart"/>
      <w:r w:rsidRPr="00504D8F">
        <w:rPr>
          <w:rFonts w:ascii="Tahoma" w:hAnsi="Tahoma" w:cs="Tahoma"/>
          <w:sz w:val="24"/>
          <w:szCs w:val="24"/>
        </w:rPr>
        <w:t>sector.</w:t>
      </w:r>
      <w:r w:rsidR="00261D78" w:rsidRPr="00504D8F">
        <w:rPr>
          <w:rFonts w:ascii="Tahoma" w:hAnsi="Tahoma" w:cs="Tahoma"/>
          <w:color w:val="FFFFFF"/>
          <w:sz w:val="24"/>
          <w:szCs w:val="24"/>
        </w:rPr>
        <w:t>o</w:t>
      </w:r>
      <w:proofErr w:type="spellEnd"/>
    </w:p>
    <w:p w:rsidR="00261D78" w:rsidRPr="00504D8F" w:rsidRDefault="00261D78" w:rsidP="00261D78">
      <w:pPr>
        <w:autoSpaceDE w:val="0"/>
        <w:autoSpaceDN w:val="0"/>
        <w:adjustRightInd w:val="0"/>
        <w:spacing w:after="0" w:line="240" w:lineRule="auto"/>
        <w:rPr>
          <w:rFonts w:ascii="Tahoma" w:hAnsi="Tahoma" w:cs="Tahoma"/>
          <w:sz w:val="24"/>
          <w:szCs w:val="24"/>
        </w:rPr>
      </w:pPr>
      <w:proofErr w:type="spellStart"/>
      <w:proofErr w:type="gramStart"/>
      <w:r w:rsidRPr="00504D8F">
        <w:rPr>
          <w:rFonts w:ascii="Tahoma" w:hAnsi="Tahoma" w:cs="Tahoma"/>
          <w:color w:val="FFFFFF"/>
          <w:sz w:val="24"/>
          <w:szCs w:val="24"/>
        </w:rPr>
        <w:t>nomy</w:t>
      </w:r>
      <w:proofErr w:type="spellEnd"/>
      <w:proofErr w:type="gramEnd"/>
    </w:p>
    <w:p w:rsidR="00550A4F" w:rsidRPr="00504D8F" w:rsidRDefault="00550A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 xml:space="preserve">3.3 </w:t>
      </w:r>
      <w:r w:rsidR="00866BF0">
        <w:rPr>
          <w:rFonts w:ascii="Tahoma" w:hAnsi="Tahoma" w:cs="Tahoma"/>
          <w:b/>
          <w:bCs/>
          <w:sz w:val="24"/>
          <w:szCs w:val="24"/>
        </w:rPr>
        <w:tab/>
      </w:r>
      <w:r w:rsidRPr="00504D8F">
        <w:rPr>
          <w:rFonts w:ascii="Tahoma" w:hAnsi="Tahoma" w:cs="Tahoma"/>
          <w:sz w:val="24"/>
          <w:szCs w:val="24"/>
        </w:rPr>
        <w:t>A feature of Northern Ireland is its consistently h</w:t>
      </w:r>
      <w:r w:rsidR="008E411D">
        <w:rPr>
          <w:rFonts w:ascii="Tahoma" w:hAnsi="Tahoma" w:cs="Tahoma"/>
          <w:sz w:val="24"/>
          <w:szCs w:val="24"/>
        </w:rPr>
        <w:t xml:space="preserve">igh rate of economic inactivity </w:t>
      </w:r>
      <w:r w:rsidRPr="00504D8F">
        <w:rPr>
          <w:rFonts w:ascii="Tahoma" w:hAnsi="Tahoma" w:cs="Tahoma"/>
          <w:sz w:val="24"/>
          <w:szCs w:val="24"/>
        </w:rPr>
        <w:t>in comparison with other regions of the UK. Economic inactivity rates</w:t>
      </w:r>
      <w:r w:rsidR="000C5C63" w:rsidRPr="00504D8F">
        <w:rPr>
          <w:rFonts w:ascii="Tahoma" w:hAnsi="Tahoma" w:cs="Tahoma"/>
          <w:sz w:val="24"/>
          <w:szCs w:val="24"/>
        </w:rPr>
        <w:t>, currently 27% of the working age population compared to the UK average of 22.2%</w:t>
      </w:r>
      <w:r w:rsidR="00651F0E" w:rsidRPr="00504D8F">
        <w:rPr>
          <w:rFonts w:ascii="Tahoma" w:hAnsi="Tahoma" w:cs="Tahoma"/>
          <w:sz w:val="24"/>
          <w:szCs w:val="24"/>
        </w:rPr>
        <w:t>,</w:t>
      </w:r>
      <w:r w:rsidR="008E411D">
        <w:rPr>
          <w:rFonts w:ascii="Tahoma" w:hAnsi="Tahoma" w:cs="Tahoma"/>
          <w:sz w:val="24"/>
          <w:szCs w:val="24"/>
        </w:rPr>
        <w:t xml:space="preserve"> have </w:t>
      </w:r>
      <w:r w:rsidRPr="00504D8F">
        <w:rPr>
          <w:rFonts w:ascii="Tahoma" w:hAnsi="Tahoma" w:cs="Tahoma"/>
          <w:sz w:val="24"/>
          <w:szCs w:val="24"/>
        </w:rPr>
        <w:t>remained within a stable range of 26% and 32% of the working adult</w:t>
      </w:r>
      <w:r w:rsidR="0066272A" w:rsidRPr="00504D8F">
        <w:rPr>
          <w:rFonts w:ascii="Tahoma" w:hAnsi="Tahoma" w:cs="Tahoma"/>
          <w:sz w:val="24"/>
          <w:szCs w:val="24"/>
        </w:rPr>
        <w:t xml:space="preserve"> </w:t>
      </w:r>
      <w:r w:rsidRPr="00504D8F">
        <w:rPr>
          <w:rFonts w:ascii="Tahoma" w:hAnsi="Tahoma" w:cs="Tahoma"/>
          <w:sz w:val="24"/>
          <w:szCs w:val="24"/>
        </w:rPr>
        <w:t xml:space="preserve">population in Northern Ireland since the </w:t>
      </w:r>
      <w:proofErr w:type="spellStart"/>
      <w:r w:rsidRPr="00504D8F">
        <w:rPr>
          <w:rFonts w:ascii="Tahoma" w:hAnsi="Tahoma" w:cs="Tahoma"/>
          <w:sz w:val="24"/>
          <w:szCs w:val="24"/>
        </w:rPr>
        <w:t>mid 1980s</w:t>
      </w:r>
      <w:proofErr w:type="spellEnd"/>
      <w:r w:rsidRPr="00504D8F">
        <w:rPr>
          <w:rFonts w:ascii="Tahoma" w:hAnsi="Tahoma" w:cs="Tahoma"/>
          <w:sz w:val="24"/>
          <w:szCs w:val="24"/>
        </w:rPr>
        <w:t>. The NI Executive intends</w:t>
      </w:r>
      <w:r w:rsidR="0066272A" w:rsidRPr="00504D8F">
        <w:rPr>
          <w:rFonts w:ascii="Tahoma" w:hAnsi="Tahoma" w:cs="Tahoma"/>
          <w:sz w:val="24"/>
          <w:szCs w:val="24"/>
        </w:rPr>
        <w:t xml:space="preserve"> </w:t>
      </w:r>
      <w:r w:rsidRPr="00504D8F">
        <w:rPr>
          <w:rFonts w:ascii="Tahoma" w:hAnsi="Tahoma" w:cs="Tahoma"/>
          <w:sz w:val="24"/>
          <w:szCs w:val="24"/>
        </w:rPr>
        <w:t>to address the issue through a range of new measures designed to help</w:t>
      </w:r>
      <w:r w:rsidR="0066272A" w:rsidRPr="00504D8F">
        <w:rPr>
          <w:rFonts w:ascii="Tahoma" w:hAnsi="Tahoma" w:cs="Tahoma"/>
          <w:sz w:val="24"/>
          <w:szCs w:val="24"/>
        </w:rPr>
        <w:t xml:space="preserve"> </w:t>
      </w:r>
      <w:r w:rsidRPr="00504D8F">
        <w:rPr>
          <w:rFonts w:ascii="Tahoma" w:hAnsi="Tahoma" w:cs="Tahoma"/>
          <w:sz w:val="24"/>
          <w:szCs w:val="24"/>
        </w:rPr>
        <w:t>individuals in targeted inactive groups make the transition into work. The</w:t>
      </w:r>
      <w:r w:rsidR="0066272A" w:rsidRPr="00504D8F">
        <w:rPr>
          <w:rFonts w:ascii="Tahoma" w:hAnsi="Tahoma" w:cs="Tahoma"/>
          <w:sz w:val="24"/>
          <w:szCs w:val="24"/>
        </w:rPr>
        <w:t xml:space="preserve"> </w:t>
      </w:r>
      <w:r w:rsidRPr="00504D8F">
        <w:rPr>
          <w:rFonts w:ascii="Tahoma" w:hAnsi="Tahoma" w:cs="Tahoma"/>
          <w:sz w:val="24"/>
          <w:szCs w:val="24"/>
        </w:rPr>
        <w:t xml:space="preserve">strategic goal is </w:t>
      </w:r>
      <w:r w:rsidR="000C5C63" w:rsidRPr="00504D8F">
        <w:rPr>
          <w:rFonts w:ascii="Tahoma" w:hAnsi="Tahoma" w:cs="Tahoma"/>
          <w:sz w:val="24"/>
          <w:szCs w:val="24"/>
        </w:rPr>
        <w:t xml:space="preserve">by 2030 </w:t>
      </w:r>
      <w:r w:rsidRPr="00504D8F">
        <w:rPr>
          <w:rFonts w:ascii="Tahoma" w:hAnsi="Tahoma" w:cs="Tahoma"/>
          <w:sz w:val="24"/>
          <w:szCs w:val="24"/>
        </w:rPr>
        <w:t>to contribute towards a stable and competitive employment</w:t>
      </w:r>
      <w:r w:rsidR="0066272A" w:rsidRPr="00504D8F">
        <w:rPr>
          <w:rFonts w:ascii="Tahoma" w:hAnsi="Tahoma" w:cs="Tahoma"/>
          <w:sz w:val="24"/>
          <w:szCs w:val="24"/>
        </w:rPr>
        <w:t xml:space="preserve"> </w:t>
      </w:r>
      <w:r w:rsidR="000C5C63" w:rsidRPr="00504D8F">
        <w:rPr>
          <w:rFonts w:ascii="Tahoma" w:hAnsi="Tahoma" w:cs="Tahoma"/>
          <w:sz w:val="24"/>
          <w:szCs w:val="24"/>
        </w:rPr>
        <w:t>rate in NI which exceeds the UK average through a reduction in the proportion of the working age population (16-64) classified as economically inactive.</w:t>
      </w:r>
      <w:r w:rsidRPr="00504D8F">
        <w:rPr>
          <w:rFonts w:ascii="Tahoma" w:hAnsi="Tahoma" w:cs="Tahoma"/>
          <w:sz w:val="24"/>
          <w:szCs w:val="24"/>
        </w:rPr>
        <w:t xml:space="preserve"> Factors identifi</w:t>
      </w:r>
      <w:r w:rsidR="000C5C63" w:rsidRPr="00504D8F">
        <w:rPr>
          <w:rFonts w:ascii="Tahoma" w:hAnsi="Tahoma" w:cs="Tahoma"/>
          <w:sz w:val="24"/>
          <w:szCs w:val="24"/>
        </w:rPr>
        <w:t>ed within Enabling Success - A strategy to tackle economic inactivity in NI (2015</w:t>
      </w:r>
      <w:r w:rsidRPr="00504D8F">
        <w:rPr>
          <w:rFonts w:ascii="Tahoma" w:hAnsi="Tahoma" w:cs="Tahoma"/>
          <w:sz w:val="24"/>
          <w:szCs w:val="24"/>
        </w:rPr>
        <w:t xml:space="preserve">) </w:t>
      </w:r>
      <w:r w:rsidR="0066272A" w:rsidRPr="00504D8F">
        <w:rPr>
          <w:rFonts w:ascii="Tahoma" w:hAnsi="Tahoma" w:cs="Tahoma"/>
          <w:sz w:val="24"/>
          <w:szCs w:val="24"/>
        </w:rPr>
        <w:t>–</w:t>
      </w:r>
      <w:r w:rsidRPr="00504D8F">
        <w:rPr>
          <w:rFonts w:ascii="Tahoma" w:hAnsi="Tahoma" w:cs="Tahoma"/>
          <w:sz w:val="24"/>
          <w:szCs w:val="24"/>
        </w:rPr>
        <w:t xml:space="preserve"> as</w:t>
      </w:r>
      <w:r w:rsidR="0066272A" w:rsidRPr="00504D8F">
        <w:rPr>
          <w:rFonts w:ascii="Tahoma" w:hAnsi="Tahoma" w:cs="Tahoma"/>
          <w:sz w:val="24"/>
          <w:szCs w:val="24"/>
        </w:rPr>
        <w:t xml:space="preserve"> </w:t>
      </w:r>
      <w:r w:rsidRPr="00504D8F">
        <w:rPr>
          <w:rFonts w:ascii="Tahoma" w:hAnsi="Tahoma" w:cs="Tahoma"/>
          <w:sz w:val="24"/>
          <w:szCs w:val="24"/>
        </w:rPr>
        <w:t>affecting employability at local level are local labour market demand, quality of</w:t>
      </w:r>
      <w:r w:rsidR="0066272A" w:rsidRPr="00504D8F">
        <w:rPr>
          <w:rFonts w:ascii="Tahoma" w:hAnsi="Tahoma" w:cs="Tahoma"/>
          <w:sz w:val="24"/>
          <w:szCs w:val="24"/>
        </w:rPr>
        <w:t xml:space="preserve"> </w:t>
      </w:r>
      <w:r w:rsidRPr="00504D8F">
        <w:rPr>
          <w:rFonts w:ascii="Tahoma" w:hAnsi="Tahoma" w:cs="Tahoma"/>
          <w:sz w:val="24"/>
          <w:szCs w:val="24"/>
        </w:rPr>
        <w:t xml:space="preserve">jobs available (pay and </w:t>
      </w:r>
      <w:r w:rsidRPr="00504D8F">
        <w:rPr>
          <w:rFonts w:ascii="Tahoma" w:hAnsi="Tahoma" w:cs="Tahoma"/>
          <w:sz w:val="24"/>
          <w:szCs w:val="24"/>
        </w:rPr>
        <w:lastRenderedPageBreak/>
        <w:t>flexibility), access barriers, transport isolation (rural),</w:t>
      </w:r>
      <w:r w:rsidR="0066272A" w:rsidRPr="00504D8F">
        <w:rPr>
          <w:rFonts w:ascii="Tahoma" w:hAnsi="Tahoma" w:cs="Tahoma"/>
          <w:sz w:val="24"/>
          <w:szCs w:val="24"/>
        </w:rPr>
        <w:t xml:space="preserve"> </w:t>
      </w:r>
      <w:r w:rsidRPr="00504D8F">
        <w:rPr>
          <w:rFonts w:ascii="Tahoma" w:hAnsi="Tahoma" w:cs="Tahoma"/>
          <w:sz w:val="24"/>
          <w:szCs w:val="24"/>
        </w:rPr>
        <w:t>transport deprivation(urban)</w:t>
      </w:r>
      <w:r w:rsidR="00C77FCD" w:rsidRPr="00504D8F">
        <w:rPr>
          <w:rFonts w:ascii="Tahoma" w:hAnsi="Tahoma" w:cs="Tahoma"/>
          <w:sz w:val="24"/>
          <w:szCs w:val="24"/>
        </w:rPr>
        <w:t>,</w:t>
      </w:r>
      <w:r w:rsidRPr="00504D8F">
        <w:rPr>
          <w:rFonts w:ascii="Tahoma" w:hAnsi="Tahoma" w:cs="Tahoma"/>
          <w:sz w:val="24"/>
          <w:szCs w:val="24"/>
        </w:rPr>
        <w:t xml:space="preserve"> and childcare/social care provision</w:t>
      </w:r>
      <w:r w:rsidR="008738BB" w:rsidRPr="00504D8F">
        <w:rPr>
          <w:rStyle w:val="FootnoteReference"/>
          <w:rFonts w:ascii="Tahoma" w:hAnsi="Tahoma" w:cs="Tahoma"/>
          <w:sz w:val="24"/>
          <w:szCs w:val="24"/>
        </w:rPr>
        <w:footnoteReference w:id="6"/>
      </w:r>
      <w:r w:rsidR="009A3F5C" w:rsidRPr="00504D8F">
        <w:rPr>
          <w:rFonts w:ascii="Tahoma" w:hAnsi="Tahoma" w:cs="Tahoma"/>
          <w:sz w:val="24"/>
          <w:szCs w:val="24"/>
        </w:rPr>
        <w:t>.</w:t>
      </w:r>
    </w:p>
    <w:p w:rsidR="00C77FCD" w:rsidRPr="009A3F5C" w:rsidRDefault="00C77FCD" w:rsidP="00550A4F">
      <w:pPr>
        <w:autoSpaceDE w:val="0"/>
        <w:autoSpaceDN w:val="0"/>
        <w:adjustRightInd w:val="0"/>
        <w:spacing w:after="0" w:line="240" w:lineRule="auto"/>
        <w:rPr>
          <w:rFonts w:ascii="Arial" w:hAnsi="Arial" w:cs="Arial"/>
          <w:sz w:val="24"/>
          <w:szCs w:val="24"/>
        </w:rPr>
      </w:pPr>
    </w:p>
    <w:p w:rsidR="00992449" w:rsidRPr="00504D8F" w:rsidRDefault="00992449" w:rsidP="00992449">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Services sector in Northern Ireland</w:t>
      </w:r>
    </w:p>
    <w:p w:rsidR="00C5140B" w:rsidRPr="00504D8F" w:rsidRDefault="00C5140B" w:rsidP="00992449">
      <w:pPr>
        <w:autoSpaceDE w:val="0"/>
        <w:autoSpaceDN w:val="0"/>
        <w:adjustRightInd w:val="0"/>
        <w:spacing w:after="0" w:line="240" w:lineRule="auto"/>
        <w:rPr>
          <w:rFonts w:ascii="Tahoma" w:hAnsi="Tahoma" w:cs="Tahoma"/>
          <w:b/>
          <w:bCs/>
          <w:sz w:val="24"/>
          <w:szCs w:val="24"/>
        </w:rPr>
      </w:pPr>
    </w:p>
    <w:p w:rsidR="00992449"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3.4</w:t>
      </w:r>
      <w:r w:rsidRPr="00504D8F">
        <w:rPr>
          <w:rFonts w:ascii="Tahoma" w:hAnsi="Tahoma" w:cs="Tahoma"/>
          <w:sz w:val="24"/>
          <w:szCs w:val="24"/>
        </w:rPr>
        <w:t xml:space="preserve"> </w:t>
      </w:r>
      <w:r w:rsidR="00866BF0">
        <w:rPr>
          <w:rFonts w:ascii="Tahoma" w:hAnsi="Tahoma" w:cs="Tahoma"/>
          <w:sz w:val="24"/>
          <w:szCs w:val="24"/>
        </w:rPr>
        <w:tab/>
      </w:r>
      <w:r w:rsidR="00992449" w:rsidRPr="00504D8F">
        <w:rPr>
          <w:rFonts w:ascii="Tahoma" w:hAnsi="Tahoma" w:cs="Tahoma"/>
          <w:sz w:val="24"/>
          <w:szCs w:val="24"/>
        </w:rPr>
        <w:t>Northern Ireland had a</w:t>
      </w:r>
      <w:r w:rsidR="00175815" w:rsidRPr="00504D8F">
        <w:rPr>
          <w:rFonts w:ascii="Tahoma" w:hAnsi="Tahoma" w:cs="Tahoma"/>
          <w:sz w:val="24"/>
          <w:szCs w:val="24"/>
        </w:rPr>
        <w:t xml:space="preserve"> much lower reliance on Service</w:t>
      </w:r>
      <w:r w:rsidR="00992449" w:rsidRPr="00504D8F">
        <w:rPr>
          <w:rFonts w:ascii="Tahoma" w:hAnsi="Tahoma" w:cs="Tahoma"/>
          <w:sz w:val="24"/>
          <w:szCs w:val="24"/>
        </w:rPr>
        <w:t xml:space="preserve"> industries (as a proportion of businesses) than the UK as a whole with the Services sector making up around 54% of Northern Ireland headquartered businesses yet accounting for approximately 75% of all UK businesses</w:t>
      </w:r>
      <w:r w:rsidR="004D4DAE" w:rsidRPr="00504D8F">
        <w:rPr>
          <w:rStyle w:val="FootnoteReference"/>
          <w:rFonts w:ascii="Tahoma" w:hAnsi="Tahoma" w:cs="Tahoma"/>
          <w:sz w:val="24"/>
          <w:szCs w:val="24"/>
        </w:rPr>
        <w:footnoteReference w:id="7"/>
      </w:r>
      <w:r w:rsidR="008E411D">
        <w:rPr>
          <w:rFonts w:ascii="Tahoma" w:hAnsi="Tahoma" w:cs="Tahoma"/>
          <w:sz w:val="24"/>
          <w:szCs w:val="24"/>
        </w:rPr>
        <w:t xml:space="preserve">. </w:t>
      </w:r>
      <w:r w:rsidR="00992449" w:rsidRPr="00504D8F">
        <w:rPr>
          <w:rFonts w:ascii="Tahoma" w:hAnsi="Tahoma" w:cs="Tahoma"/>
          <w:sz w:val="24"/>
          <w:szCs w:val="24"/>
        </w:rPr>
        <w:t xml:space="preserve">This was primarily due to lower proportions of businesses in the Information and Communication sector (2.1% in NI, 7.6% in UK), and the Professional, </w:t>
      </w:r>
      <w:r w:rsidR="002A7557" w:rsidRPr="00504D8F">
        <w:rPr>
          <w:rFonts w:ascii="Tahoma" w:hAnsi="Tahoma" w:cs="Tahoma"/>
          <w:sz w:val="24"/>
          <w:szCs w:val="24"/>
        </w:rPr>
        <w:t>S</w:t>
      </w:r>
      <w:r w:rsidR="00992449" w:rsidRPr="00504D8F">
        <w:rPr>
          <w:rFonts w:ascii="Tahoma" w:hAnsi="Tahoma" w:cs="Tahoma"/>
          <w:sz w:val="24"/>
          <w:szCs w:val="24"/>
        </w:rPr>
        <w:t xml:space="preserve">cientific &amp; </w:t>
      </w:r>
      <w:r w:rsidR="002A7557" w:rsidRPr="00504D8F">
        <w:rPr>
          <w:rFonts w:ascii="Tahoma" w:hAnsi="Tahoma" w:cs="Tahoma"/>
          <w:sz w:val="24"/>
          <w:szCs w:val="24"/>
        </w:rPr>
        <w:t>T</w:t>
      </w:r>
      <w:r w:rsidR="00992449" w:rsidRPr="00504D8F">
        <w:rPr>
          <w:rFonts w:ascii="Tahoma" w:hAnsi="Tahoma" w:cs="Tahoma"/>
          <w:sz w:val="24"/>
          <w:szCs w:val="24"/>
        </w:rPr>
        <w:t>echnical sector (7.3% in NI, 16.9% in UK)</w:t>
      </w:r>
    </w:p>
    <w:p w:rsidR="00992449" w:rsidRPr="00504D8F" w:rsidRDefault="00992449" w:rsidP="00992449">
      <w:pPr>
        <w:autoSpaceDE w:val="0"/>
        <w:autoSpaceDN w:val="0"/>
        <w:adjustRightInd w:val="0"/>
        <w:spacing w:after="0" w:line="240" w:lineRule="auto"/>
        <w:rPr>
          <w:rFonts w:ascii="Tahoma" w:hAnsi="Tahoma" w:cs="Tahoma"/>
          <w:b/>
          <w:bCs/>
          <w:sz w:val="24"/>
          <w:szCs w:val="24"/>
        </w:rPr>
      </w:pPr>
    </w:p>
    <w:p w:rsidR="00992449" w:rsidRPr="00504D8F" w:rsidRDefault="00992449" w:rsidP="00992449">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Small Business Economy</w:t>
      </w:r>
    </w:p>
    <w:p w:rsidR="00C5140B" w:rsidRPr="00504D8F" w:rsidRDefault="00C5140B" w:rsidP="00992449">
      <w:pPr>
        <w:autoSpaceDE w:val="0"/>
        <w:autoSpaceDN w:val="0"/>
        <w:adjustRightInd w:val="0"/>
        <w:spacing w:after="0" w:line="240" w:lineRule="auto"/>
        <w:rPr>
          <w:rFonts w:ascii="Tahoma" w:hAnsi="Tahoma" w:cs="Tahoma"/>
          <w:b/>
          <w:bCs/>
          <w:sz w:val="24"/>
          <w:szCs w:val="24"/>
        </w:rPr>
      </w:pPr>
    </w:p>
    <w:p w:rsidR="00992449"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3.5</w:t>
      </w:r>
      <w:r w:rsidRPr="00504D8F">
        <w:rPr>
          <w:rFonts w:ascii="Tahoma" w:hAnsi="Tahoma" w:cs="Tahoma"/>
          <w:sz w:val="24"/>
          <w:szCs w:val="24"/>
        </w:rPr>
        <w:t xml:space="preserve"> </w:t>
      </w:r>
      <w:r w:rsidR="00866BF0">
        <w:rPr>
          <w:rFonts w:ascii="Tahoma" w:hAnsi="Tahoma" w:cs="Tahoma"/>
          <w:sz w:val="24"/>
          <w:szCs w:val="24"/>
        </w:rPr>
        <w:tab/>
      </w:r>
      <w:r w:rsidR="00992449" w:rsidRPr="00504D8F">
        <w:rPr>
          <w:rFonts w:ascii="Tahoma" w:hAnsi="Tahoma" w:cs="Tahoma"/>
          <w:sz w:val="24"/>
          <w:szCs w:val="24"/>
        </w:rPr>
        <w:t>The figures show that in terms of both turnover and number of employees Northern Ireland is a small business economy. Almost half (47.1%) of businesses with their main headquartered (or registered) address in Northern Ireland had a total turnover of less than £100,000, with only 8.8% having a total turnover exceeding £1 million. Businesses with total employment of less than 50 people accounted for around 98% of VAT and/or PAYE registered businesses headquartered in Northern Ireland. Businesses with total employment of less than 10 accounted for around 89%.</w:t>
      </w:r>
    </w:p>
    <w:p w:rsidR="00071B40" w:rsidRPr="00504D8F" w:rsidRDefault="00071B40" w:rsidP="00550A4F">
      <w:pPr>
        <w:autoSpaceDE w:val="0"/>
        <w:autoSpaceDN w:val="0"/>
        <w:adjustRightInd w:val="0"/>
        <w:spacing w:after="0" w:line="240" w:lineRule="auto"/>
        <w:rPr>
          <w:rFonts w:ascii="Tahoma" w:hAnsi="Tahoma" w:cs="Tahoma"/>
          <w:b/>
          <w:bCs/>
          <w:sz w:val="24"/>
          <w:szCs w:val="24"/>
        </w:rPr>
      </w:pPr>
    </w:p>
    <w:p w:rsidR="00550A4F" w:rsidRPr="00504D8F" w:rsidRDefault="00550A4F" w:rsidP="00550A4F">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 xml:space="preserve">The Existing Employment Base in </w:t>
      </w:r>
      <w:r w:rsidR="00175815" w:rsidRPr="00504D8F">
        <w:rPr>
          <w:rFonts w:ascii="Tahoma" w:hAnsi="Tahoma" w:cs="Tahoma"/>
          <w:b/>
          <w:bCs/>
          <w:sz w:val="24"/>
          <w:szCs w:val="24"/>
        </w:rPr>
        <w:t xml:space="preserve">Newry, </w:t>
      </w:r>
      <w:proofErr w:type="spellStart"/>
      <w:r w:rsidR="00175815" w:rsidRPr="00504D8F">
        <w:rPr>
          <w:rFonts w:ascii="Tahoma" w:hAnsi="Tahoma" w:cs="Tahoma"/>
          <w:b/>
          <w:bCs/>
          <w:sz w:val="24"/>
          <w:szCs w:val="24"/>
        </w:rPr>
        <w:t>Mourne</w:t>
      </w:r>
      <w:proofErr w:type="spellEnd"/>
      <w:r w:rsidR="00175815" w:rsidRPr="00504D8F">
        <w:rPr>
          <w:rFonts w:ascii="Tahoma" w:hAnsi="Tahoma" w:cs="Tahoma"/>
          <w:b/>
          <w:bCs/>
          <w:sz w:val="24"/>
          <w:szCs w:val="24"/>
        </w:rPr>
        <w:t xml:space="preserve"> and Down</w:t>
      </w:r>
    </w:p>
    <w:p w:rsidR="00DC0DBF" w:rsidRPr="00504D8F" w:rsidRDefault="00DC0DBF" w:rsidP="00550A4F">
      <w:pPr>
        <w:autoSpaceDE w:val="0"/>
        <w:autoSpaceDN w:val="0"/>
        <w:adjustRightInd w:val="0"/>
        <w:spacing w:after="0" w:line="240" w:lineRule="auto"/>
        <w:rPr>
          <w:rFonts w:ascii="Tahoma" w:hAnsi="Tahoma" w:cs="Tahoma"/>
          <w:b/>
          <w:bCs/>
          <w:sz w:val="24"/>
          <w:szCs w:val="24"/>
        </w:rPr>
      </w:pPr>
    </w:p>
    <w:p w:rsidR="001D259A" w:rsidRPr="00504D8F" w:rsidRDefault="001B0BCA"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3.6</w:t>
      </w:r>
      <w:r w:rsidRPr="00504D8F">
        <w:rPr>
          <w:rFonts w:ascii="Tahoma" w:hAnsi="Tahoma" w:cs="Tahoma"/>
          <w:bCs/>
          <w:sz w:val="24"/>
          <w:szCs w:val="24"/>
        </w:rPr>
        <w:t xml:space="preserve"> </w:t>
      </w:r>
      <w:r w:rsidR="00866BF0">
        <w:rPr>
          <w:rFonts w:ascii="Tahoma" w:hAnsi="Tahoma" w:cs="Tahoma"/>
          <w:bCs/>
          <w:sz w:val="24"/>
          <w:szCs w:val="24"/>
        </w:rPr>
        <w:tab/>
      </w:r>
      <w:r w:rsidR="001D259A" w:rsidRPr="00504D8F">
        <w:rPr>
          <w:rFonts w:ascii="Tahoma" w:hAnsi="Tahoma" w:cs="Tahoma"/>
          <w:bCs/>
          <w:sz w:val="24"/>
          <w:szCs w:val="24"/>
        </w:rPr>
        <w:t>In order to assess the provision of economic development over the plan period it is necessary to consider the present picture of business and the labour market across the district. In examining the situation reference is made to the regional situation for the purpose of com</w:t>
      </w:r>
      <w:r w:rsidR="00263F26" w:rsidRPr="00504D8F">
        <w:rPr>
          <w:rFonts w:ascii="Tahoma" w:hAnsi="Tahoma" w:cs="Tahoma"/>
          <w:bCs/>
          <w:sz w:val="24"/>
          <w:szCs w:val="24"/>
        </w:rPr>
        <w:t>parison and providing a context</w:t>
      </w:r>
      <w:r w:rsidR="001D259A" w:rsidRPr="00504D8F">
        <w:rPr>
          <w:rFonts w:ascii="Tahoma" w:hAnsi="Tahoma" w:cs="Tahoma"/>
          <w:bCs/>
          <w:sz w:val="24"/>
          <w:szCs w:val="24"/>
        </w:rPr>
        <w:t xml:space="preserve">. </w:t>
      </w:r>
    </w:p>
    <w:p w:rsidR="001D259A" w:rsidRPr="00504D8F" w:rsidRDefault="001D259A" w:rsidP="008E411D">
      <w:pPr>
        <w:autoSpaceDE w:val="0"/>
        <w:autoSpaceDN w:val="0"/>
        <w:adjustRightInd w:val="0"/>
        <w:spacing w:after="0" w:line="240" w:lineRule="auto"/>
        <w:jc w:val="both"/>
        <w:rPr>
          <w:rFonts w:ascii="Tahoma" w:hAnsi="Tahoma" w:cs="Tahoma"/>
          <w:bCs/>
          <w:sz w:val="24"/>
          <w:szCs w:val="24"/>
        </w:rPr>
      </w:pPr>
    </w:p>
    <w:p w:rsidR="001D259A" w:rsidRPr="00504D8F" w:rsidRDefault="001B0BCA"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3.7</w:t>
      </w:r>
      <w:r w:rsidRPr="00504D8F">
        <w:rPr>
          <w:rFonts w:ascii="Tahoma" w:hAnsi="Tahoma" w:cs="Tahoma"/>
          <w:bCs/>
          <w:sz w:val="24"/>
          <w:szCs w:val="24"/>
        </w:rPr>
        <w:t xml:space="preserve"> </w:t>
      </w:r>
      <w:r w:rsidR="00866BF0">
        <w:rPr>
          <w:rFonts w:ascii="Tahoma" w:hAnsi="Tahoma" w:cs="Tahoma"/>
          <w:bCs/>
          <w:sz w:val="24"/>
          <w:szCs w:val="24"/>
        </w:rPr>
        <w:tab/>
      </w:r>
      <w:r w:rsidR="001D259A" w:rsidRPr="00504D8F">
        <w:rPr>
          <w:rFonts w:ascii="Tahoma" w:hAnsi="Tahoma" w:cs="Tahoma"/>
          <w:bCs/>
          <w:sz w:val="24"/>
          <w:szCs w:val="24"/>
        </w:rPr>
        <w:t xml:space="preserve">Firstly the nature of industry and employment in the Newry, </w:t>
      </w:r>
      <w:proofErr w:type="spellStart"/>
      <w:r w:rsidR="001D259A" w:rsidRPr="00504D8F">
        <w:rPr>
          <w:rFonts w:ascii="Tahoma" w:hAnsi="Tahoma" w:cs="Tahoma"/>
          <w:bCs/>
          <w:sz w:val="24"/>
          <w:szCs w:val="24"/>
        </w:rPr>
        <w:t>Mourne</w:t>
      </w:r>
      <w:proofErr w:type="spellEnd"/>
      <w:r w:rsidR="001D259A" w:rsidRPr="00504D8F">
        <w:rPr>
          <w:rFonts w:ascii="Tahoma" w:hAnsi="Tahoma" w:cs="Tahoma"/>
          <w:bCs/>
          <w:sz w:val="24"/>
          <w:szCs w:val="24"/>
        </w:rPr>
        <w:t xml:space="preserve"> and Down Council area is examined in terms of broad employment sector, main employers and size of businesses. The labour market is examined in terms of number of economically active population that are in employment </w:t>
      </w:r>
      <w:r w:rsidR="007F289B" w:rsidRPr="00504D8F">
        <w:rPr>
          <w:rFonts w:ascii="Tahoma" w:hAnsi="Tahoma" w:cs="Tahoma"/>
          <w:bCs/>
          <w:sz w:val="24"/>
          <w:szCs w:val="24"/>
        </w:rPr>
        <w:t xml:space="preserve">and </w:t>
      </w:r>
      <w:r w:rsidR="001D259A" w:rsidRPr="00504D8F">
        <w:rPr>
          <w:rFonts w:ascii="Tahoma" w:hAnsi="Tahoma" w:cs="Tahoma"/>
          <w:bCs/>
          <w:sz w:val="24"/>
          <w:szCs w:val="24"/>
        </w:rPr>
        <w:t>those claiming benefits. Finally there is consideration of the skills and qualifications within the resident population and how it relates to the type of employment that will drive the future economy.</w:t>
      </w:r>
    </w:p>
    <w:p w:rsidR="001D259A" w:rsidRPr="00504D8F" w:rsidRDefault="001D259A" w:rsidP="00550A4F">
      <w:pPr>
        <w:autoSpaceDE w:val="0"/>
        <w:autoSpaceDN w:val="0"/>
        <w:adjustRightInd w:val="0"/>
        <w:spacing w:after="0" w:line="240" w:lineRule="auto"/>
        <w:rPr>
          <w:rFonts w:ascii="Tahoma" w:hAnsi="Tahoma" w:cs="Tahoma"/>
          <w:b/>
          <w:bCs/>
          <w:sz w:val="24"/>
          <w:szCs w:val="24"/>
        </w:rPr>
      </w:pPr>
    </w:p>
    <w:p w:rsidR="00550A4F"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3.8</w:t>
      </w:r>
      <w:r w:rsidR="00550A4F" w:rsidRPr="00504D8F">
        <w:rPr>
          <w:rFonts w:ascii="Tahoma" w:hAnsi="Tahoma" w:cs="Tahoma"/>
          <w:b/>
          <w:bCs/>
          <w:sz w:val="24"/>
          <w:szCs w:val="24"/>
        </w:rPr>
        <w:t xml:space="preserve"> </w:t>
      </w:r>
      <w:r w:rsidR="00866BF0">
        <w:rPr>
          <w:rFonts w:ascii="Tahoma" w:hAnsi="Tahoma" w:cs="Tahoma"/>
          <w:b/>
          <w:bCs/>
          <w:sz w:val="24"/>
          <w:szCs w:val="24"/>
        </w:rPr>
        <w:tab/>
      </w:r>
      <w:r w:rsidR="00550A4F" w:rsidRPr="00504D8F">
        <w:rPr>
          <w:rFonts w:ascii="Tahoma" w:hAnsi="Tahoma" w:cs="Tahoma"/>
          <w:sz w:val="24"/>
          <w:szCs w:val="24"/>
        </w:rPr>
        <w:t>Employment may be classified into three sectors: primary, secondary and</w:t>
      </w:r>
      <w:r w:rsidR="00435847">
        <w:rPr>
          <w:rFonts w:ascii="Tahoma" w:hAnsi="Tahoma" w:cs="Tahoma"/>
          <w:sz w:val="24"/>
          <w:szCs w:val="24"/>
        </w:rPr>
        <w:t xml:space="preserve"> </w:t>
      </w:r>
      <w:r w:rsidR="00550A4F" w:rsidRPr="00504D8F">
        <w:rPr>
          <w:rFonts w:ascii="Tahoma" w:hAnsi="Tahoma" w:cs="Tahoma"/>
          <w:sz w:val="24"/>
          <w:szCs w:val="24"/>
        </w:rPr>
        <w:t>tertiary. The primary sector includes agriculture, forestry and the extraction of</w:t>
      </w:r>
      <w:r w:rsidR="00435847">
        <w:rPr>
          <w:rFonts w:ascii="Tahoma" w:hAnsi="Tahoma" w:cs="Tahoma"/>
          <w:sz w:val="24"/>
          <w:szCs w:val="24"/>
        </w:rPr>
        <w:t xml:space="preserve"> </w:t>
      </w:r>
      <w:r w:rsidR="00550A4F" w:rsidRPr="00504D8F">
        <w:rPr>
          <w:rFonts w:ascii="Tahoma" w:hAnsi="Tahoma" w:cs="Tahoma"/>
          <w:sz w:val="24"/>
          <w:szCs w:val="24"/>
        </w:rPr>
        <w:t>natural resources whereas the secondary sector is concerned with</w:t>
      </w:r>
      <w:r w:rsidR="0066272A" w:rsidRPr="00504D8F">
        <w:rPr>
          <w:rFonts w:ascii="Tahoma" w:hAnsi="Tahoma" w:cs="Tahoma"/>
          <w:sz w:val="24"/>
          <w:szCs w:val="24"/>
        </w:rPr>
        <w:t xml:space="preserve"> </w:t>
      </w:r>
      <w:r w:rsidR="00550A4F" w:rsidRPr="00504D8F">
        <w:rPr>
          <w:rFonts w:ascii="Tahoma" w:hAnsi="Tahoma" w:cs="Tahoma"/>
          <w:sz w:val="24"/>
          <w:szCs w:val="24"/>
        </w:rPr>
        <w:t>manufacturing and processing of natural resources. The tertiary sector is</w:t>
      </w:r>
      <w:r w:rsidR="0066272A" w:rsidRPr="00504D8F">
        <w:rPr>
          <w:rFonts w:ascii="Tahoma" w:hAnsi="Tahoma" w:cs="Tahoma"/>
          <w:sz w:val="24"/>
          <w:szCs w:val="24"/>
        </w:rPr>
        <w:t xml:space="preserve"> </w:t>
      </w:r>
      <w:r w:rsidR="00550A4F" w:rsidRPr="00504D8F">
        <w:rPr>
          <w:rFonts w:ascii="Tahoma" w:hAnsi="Tahoma" w:cs="Tahoma"/>
          <w:sz w:val="24"/>
          <w:szCs w:val="24"/>
        </w:rPr>
        <w:t xml:space="preserve">primarily concerned with </w:t>
      </w:r>
      <w:r w:rsidR="00550A4F" w:rsidRPr="00504D8F">
        <w:rPr>
          <w:rFonts w:ascii="Tahoma" w:hAnsi="Tahoma" w:cs="Tahoma"/>
          <w:sz w:val="24"/>
          <w:szCs w:val="24"/>
        </w:rPr>
        <w:lastRenderedPageBreak/>
        <w:t>service provision such as public administration,</w:t>
      </w:r>
      <w:r w:rsidR="0066272A" w:rsidRPr="00504D8F">
        <w:rPr>
          <w:rFonts w:ascii="Tahoma" w:hAnsi="Tahoma" w:cs="Tahoma"/>
          <w:sz w:val="24"/>
          <w:szCs w:val="24"/>
        </w:rPr>
        <w:t xml:space="preserve"> </w:t>
      </w:r>
      <w:r w:rsidR="00550A4F" w:rsidRPr="00504D8F">
        <w:rPr>
          <w:rFonts w:ascii="Tahoma" w:hAnsi="Tahoma" w:cs="Tahoma"/>
          <w:sz w:val="24"/>
          <w:szCs w:val="24"/>
        </w:rPr>
        <w:t>education, health, retailing, banking, catering, transportation and</w:t>
      </w:r>
      <w:r w:rsidR="0066272A" w:rsidRPr="00504D8F">
        <w:rPr>
          <w:rFonts w:ascii="Tahoma" w:hAnsi="Tahoma" w:cs="Tahoma"/>
          <w:sz w:val="24"/>
          <w:szCs w:val="24"/>
        </w:rPr>
        <w:t xml:space="preserve"> </w:t>
      </w:r>
      <w:r w:rsidR="00550A4F" w:rsidRPr="00504D8F">
        <w:rPr>
          <w:rFonts w:ascii="Tahoma" w:hAnsi="Tahoma" w:cs="Tahoma"/>
          <w:sz w:val="24"/>
          <w:szCs w:val="24"/>
        </w:rPr>
        <w:t>communications.</w:t>
      </w:r>
    </w:p>
    <w:p w:rsidR="00550A4F" w:rsidRPr="00504D8F" w:rsidRDefault="00550A4F" w:rsidP="00550A4F">
      <w:pPr>
        <w:autoSpaceDE w:val="0"/>
        <w:autoSpaceDN w:val="0"/>
        <w:adjustRightInd w:val="0"/>
        <w:spacing w:after="0" w:line="240" w:lineRule="auto"/>
        <w:rPr>
          <w:rFonts w:ascii="Tahoma" w:hAnsi="Tahoma" w:cs="Tahoma"/>
          <w:b/>
          <w:bCs/>
          <w:sz w:val="24"/>
          <w:szCs w:val="24"/>
        </w:rPr>
      </w:pPr>
    </w:p>
    <w:p w:rsidR="006F3621" w:rsidRPr="00504D8F" w:rsidRDefault="001B0BCA" w:rsidP="008E411D">
      <w:pPr>
        <w:autoSpaceDE w:val="0"/>
        <w:autoSpaceDN w:val="0"/>
        <w:adjustRightInd w:val="0"/>
        <w:spacing w:after="0" w:line="240" w:lineRule="auto"/>
        <w:jc w:val="both"/>
        <w:rPr>
          <w:rFonts w:ascii="Tahoma" w:hAnsi="Tahoma" w:cs="Tahoma"/>
          <w:color w:val="FF0000"/>
          <w:sz w:val="24"/>
          <w:szCs w:val="24"/>
        </w:rPr>
      </w:pPr>
      <w:r w:rsidRPr="00504D8F">
        <w:rPr>
          <w:rFonts w:ascii="Tahoma" w:hAnsi="Tahoma" w:cs="Tahoma"/>
          <w:b/>
          <w:bCs/>
          <w:sz w:val="24"/>
          <w:szCs w:val="24"/>
        </w:rPr>
        <w:t>3.9</w:t>
      </w:r>
      <w:r w:rsidR="00550A4F" w:rsidRPr="00504D8F">
        <w:rPr>
          <w:rFonts w:ascii="Tahoma" w:hAnsi="Tahoma" w:cs="Tahoma"/>
          <w:b/>
          <w:bCs/>
          <w:sz w:val="24"/>
          <w:szCs w:val="24"/>
        </w:rPr>
        <w:t xml:space="preserve"> </w:t>
      </w:r>
      <w:r w:rsidR="00866BF0">
        <w:rPr>
          <w:rFonts w:ascii="Tahoma" w:hAnsi="Tahoma" w:cs="Tahoma"/>
          <w:b/>
          <w:bCs/>
          <w:sz w:val="24"/>
          <w:szCs w:val="24"/>
        </w:rPr>
        <w:tab/>
      </w:r>
      <w:r w:rsidR="00550A4F" w:rsidRPr="00504D8F">
        <w:rPr>
          <w:rFonts w:ascii="Tahoma" w:hAnsi="Tahoma" w:cs="Tahoma"/>
          <w:sz w:val="24"/>
          <w:szCs w:val="24"/>
        </w:rPr>
        <w:t>In the period 2001 to 2011, the employment sector pattern of the t</w:t>
      </w:r>
      <w:r w:rsidR="00DA5C90" w:rsidRPr="00504D8F">
        <w:rPr>
          <w:rFonts w:ascii="Tahoma" w:hAnsi="Tahoma" w:cs="Tahoma"/>
          <w:sz w:val="24"/>
          <w:szCs w:val="24"/>
        </w:rPr>
        <w:t>wo</w:t>
      </w:r>
      <w:r w:rsidR="00550A4F" w:rsidRPr="00504D8F">
        <w:rPr>
          <w:rFonts w:ascii="Tahoma" w:hAnsi="Tahoma" w:cs="Tahoma"/>
          <w:sz w:val="24"/>
          <w:szCs w:val="24"/>
        </w:rPr>
        <w:t xml:space="preserve"> </w:t>
      </w:r>
      <w:r w:rsidR="00C77FCD" w:rsidRPr="00504D8F">
        <w:rPr>
          <w:rFonts w:ascii="Tahoma" w:hAnsi="Tahoma" w:cs="Tahoma"/>
          <w:sz w:val="24"/>
          <w:szCs w:val="24"/>
        </w:rPr>
        <w:t>former District Council area</w:t>
      </w:r>
      <w:r w:rsidR="008F4637">
        <w:rPr>
          <w:rFonts w:ascii="Tahoma" w:hAnsi="Tahoma" w:cs="Tahoma"/>
          <w:sz w:val="24"/>
          <w:szCs w:val="24"/>
        </w:rPr>
        <w:t>s</w:t>
      </w:r>
      <w:r w:rsidR="00DA7E23" w:rsidRPr="00504D8F">
        <w:rPr>
          <w:rFonts w:ascii="Tahoma" w:hAnsi="Tahoma" w:cs="Tahoma"/>
          <w:sz w:val="24"/>
          <w:szCs w:val="24"/>
        </w:rPr>
        <w:t xml:space="preserve"> </w:t>
      </w:r>
      <w:r w:rsidR="00550A4F" w:rsidRPr="00504D8F">
        <w:rPr>
          <w:rFonts w:ascii="Tahoma" w:hAnsi="Tahoma" w:cs="Tahoma"/>
          <w:sz w:val="24"/>
          <w:szCs w:val="24"/>
        </w:rPr>
        <w:t xml:space="preserve">generally reflected the Northern Ireland trend of a fall in the primary sector and an increase </w:t>
      </w:r>
      <w:r w:rsidR="00AD3F43" w:rsidRPr="00504D8F">
        <w:rPr>
          <w:rFonts w:ascii="Tahoma" w:hAnsi="Tahoma" w:cs="Tahoma"/>
          <w:sz w:val="24"/>
          <w:szCs w:val="24"/>
        </w:rPr>
        <w:t>in the tertiary sector (</w:t>
      </w:r>
      <w:r w:rsidR="00550A4F" w:rsidRPr="00504D8F">
        <w:rPr>
          <w:rFonts w:ascii="Tahoma" w:hAnsi="Tahoma" w:cs="Tahoma"/>
          <w:sz w:val="24"/>
          <w:szCs w:val="24"/>
        </w:rPr>
        <w:t>Table 1</w:t>
      </w:r>
      <w:r w:rsidR="00AD3F43" w:rsidRPr="00504D8F">
        <w:rPr>
          <w:rFonts w:ascii="Tahoma" w:hAnsi="Tahoma" w:cs="Tahoma"/>
          <w:sz w:val="24"/>
          <w:szCs w:val="24"/>
        </w:rPr>
        <w:t xml:space="preserve"> and Figure 1</w:t>
      </w:r>
      <w:r w:rsidR="00550A4F" w:rsidRPr="00504D8F">
        <w:rPr>
          <w:rFonts w:ascii="Tahoma" w:hAnsi="Tahoma" w:cs="Tahoma"/>
          <w:sz w:val="24"/>
          <w:szCs w:val="24"/>
        </w:rPr>
        <w:t xml:space="preserve">). Both </w:t>
      </w:r>
      <w:r w:rsidR="00AD2180" w:rsidRPr="00504D8F">
        <w:rPr>
          <w:rFonts w:ascii="Tahoma" w:hAnsi="Tahoma" w:cs="Tahoma"/>
          <w:sz w:val="24"/>
          <w:szCs w:val="24"/>
        </w:rPr>
        <w:t xml:space="preserve">Newry &amp; </w:t>
      </w:r>
      <w:proofErr w:type="spellStart"/>
      <w:r w:rsidR="00AD2180" w:rsidRPr="00504D8F">
        <w:rPr>
          <w:rFonts w:ascii="Tahoma" w:hAnsi="Tahoma" w:cs="Tahoma"/>
          <w:sz w:val="24"/>
          <w:szCs w:val="24"/>
        </w:rPr>
        <w:t>Mourne</w:t>
      </w:r>
      <w:proofErr w:type="spellEnd"/>
      <w:r w:rsidR="00DA7E23" w:rsidRPr="00504D8F">
        <w:rPr>
          <w:rFonts w:ascii="Tahoma" w:hAnsi="Tahoma" w:cs="Tahoma"/>
          <w:sz w:val="24"/>
          <w:szCs w:val="24"/>
        </w:rPr>
        <w:t>,</w:t>
      </w:r>
      <w:r w:rsidR="00AD2180" w:rsidRPr="00504D8F">
        <w:rPr>
          <w:rFonts w:ascii="Tahoma" w:hAnsi="Tahoma" w:cs="Tahoma"/>
          <w:sz w:val="24"/>
          <w:szCs w:val="24"/>
        </w:rPr>
        <w:t xml:space="preserve"> and Down</w:t>
      </w:r>
      <w:r w:rsidR="00550A4F" w:rsidRPr="00504D8F">
        <w:rPr>
          <w:rFonts w:ascii="Tahoma" w:hAnsi="Tahoma" w:cs="Tahoma"/>
          <w:sz w:val="24"/>
          <w:szCs w:val="24"/>
        </w:rPr>
        <w:t xml:space="preserve"> have a higher percentage of employment in the primary sector com</w:t>
      </w:r>
      <w:r w:rsidR="00D331EF" w:rsidRPr="00504D8F">
        <w:rPr>
          <w:rFonts w:ascii="Tahoma" w:hAnsi="Tahoma" w:cs="Tahoma"/>
          <w:sz w:val="24"/>
          <w:szCs w:val="24"/>
        </w:rPr>
        <w:t>pared to the regional average</w:t>
      </w:r>
      <w:r w:rsidR="00550A4F" w:rsidRPr="00504D8F">
        <w:rPr>
          <w:rFonts w:ascii="Tahoma" w:hAnsi="Tahoma" w:cs="Tahoma"/>
          <w:sz w:val="24"/>
          <w:szCs w:val="24"/>
        </w:rPr>
        <w:t>.</w:t>
      </w:r>
      <w:r w:rsidR="00BB04F6" w:rsidRPr="00504D8F">
        <w:rPr>
          <w:rFonts w:ascii="Tahoma" w:hAnsi="Tahoma" w:cs="Tahoma"/>
          <w:color w:val="FF0000"/>
          <w:sz w:val="24"/>
          <w:szCs w:val="24"/>
        </w:rPr>
        <w:t xml:space="preserve"> </w:t>
      </w:r>
      <w:r w:rsidR="00550A4F" w:rsidRPr="00504D8F">
        <w:rPr>
          <w:rFonts w:ascii="Tahoma" w:hAnsi="Tahoma" w:cs="Tahoma"/>
          <w:sz w:val="24"/>
          <w:szCs w:val="24"/>
        </w:rPr>
        <w:t xml:space="preserve">DARD statistics for 2013 indicate that </w:t>
      </w:r>
      <w:r w:rsidR="00907924" w:rsidRPr="00504D8F">
        <w:rPr>
          <w:rFonts w:ascii="Tahoma" w:hAnsi="Tahoma" w:cs="Tahoma"/>
          <w:sz w:val="24"/>
          <w:szCs w:val="24"/>
        </w:rPr>
        <w:t xml:space="preserve">Newry and </w:t>
      </w:r>
      <w:proofErr w:type="spellStart"/>
      <w:r w:rsidR="00907924" w:rsidRPr="00504D8F">
        <w:rPr>
          <w:rFonts w:ascii="Tahoma" w:hAnsi="Tahoma" w:cs="Tahoma"/>
          <w:sz w:val="24"/>
          <w:szCs w:val="24"/>
        </w:rPr>
        <w:t>Mourne</w:t>
      </w:r>
      <w:proofErr w:type="spellEnd"/>
      <w:r w:rsidR="001469EE" w:rsidRPr="00504D8F">
        <w:rPr>
          <w:rFonts w:ascii="Tahoma" w:hAnsi="Tahoma" w:cs="Tahoma"/>
          <w:sz w:val="24"/>
          <w:szCs w:val="24"/>
        </w:rPr>
        <w:t xml:space="preserve"> </w:t>
      </w:r>
      <w:r w:rsidR="00907924" w:rsidRPr="00504D8F">
        <w:rPr>
          <w:rFonts w:ascii="Tahoma" w:hAnsi="Tahoma" w:cs="Tahoma"/>
          <w:sz w:val="24"/>
          <w:szCs w:val="24"/>
        </w:rPr>
        <w:t>had</w:t>
      </w:r>
      <w:r w:rsidR="00550A4F" w:rsidRPr="00504D8F">
        <w:rPr>
          <w:rFonts w:ascii="Tahoma" w:hAnsi="Tahoma" w:cs="Tahoma"/>
          <w:sz w:val="24"/>
          <w:szCs w:val="24"/>
        </w:rPr>
        <w:t xml:space="preserve"> the </w:t>
      </w:r>
      <w:r w:rsidR="00907924" w:rsidRPr="00504D8F">
        <w:rPr>
          <w:rFonts w:ascii="Tahoma" w:hAnsi="Tahoma" w:cs="Tahoma"/>
          <w:sz w:val="24"/>
          <w:szCs w:val="24"/>
        </w:rPr>
        <w:t>second</w:t>
      </w:r>
      <w:r w:rsidR="001469EE" w:rsidRPr="00504D8F">
        <w:rPr>
          <w:rFonts w:ascii="Tahoma" w:hAnsi="Tahoma" w:cs="Tahoma"/>
          <w:sz w:val="24"/>
          <w:szCs w:val="24"/>
        </w:rPr>
        <w:t xml:space="preserve"> </w:t>
      </w:r>
      <w:r w:rsidR="00550A4F" w:rsidRPr="00504D8F">
        <w:rPr>
          <w:rFonts w:ascii="Tahoma" w:hAnsi="Tahoma" w:cs="Tahoma"/>
          <w:sz w:val="24"/>
          <w:szCs w:val="24"/>
        </w:rPr>
        <w:t>largest agricultural labour force in Northern Ireland</w:t>
      </w:r>
      <w:r w:rsidR="00907924" w:rsidRPr="00504D8F">
        <w:rPr>
          <w:rFonts w:ascii="Tahoma" w:hAnsi="Tahoma" w:cs="Tahoma"/>
          <w:sz w:val="24"/>
          <w:szCs w:val="24"/>
        </w:rPr>
        <w:t xml:space="preserve"> (4,174</w:t>
      </w:r>
      <w:r w:rsidR="001469EE" w:rsidRPr="00504D8F">
        <w:rPr>
          <w:rFonts w:ascii="Tahoma" w:hAnsi="Tahoma" w:cs="Tahoma"/>
          <w:sz w:val="24"/>
          <w:szCs w:val="24"/>
        </w:rPr>
        <w:t>)</w:t>
      </w:r>
      <w:r w:rsidR="00550A4F" w:rsidRPr="00504D8F">
        <w:rPr>
          <w:rFonts w:ascii="Tahoma" w:hAnsi="Tahoma" w:cs="Tahoma"/>
          <w:sz w:val="24"/>
          <w:szCs w:val="24"/>
        </w:rPr>
        <w:t>,</w:t>
      </w:r>
      <w:r w:rsidR="00550A4F" w:rsidRPr="00504D8F">
        <w:rPr>
          <w:rFonts w:ascii="Tahoma" w:hAnsi="Tahoma" w:cs="Tahoma"/>
          <w:color w:val="FF0000"/>
          <w:sz w:val="24"/>
          <w:szCs w:val="24"/>
        </w:rPr>
        <w:t xml:space="preserve"> </w:t>
      </w:r>
      <w:r w:rsidR="00550A4F" w:rsidRPr="00504D8F">
        <w:rPr>
          <w:rFonts w:ascii="Tahoma" w:hAnsi="Tahoma" w:cs="Tahoma"/>
          <w:sz w:val="24"/>
          <w:szCs w:val="24"/>
        </w:rPr>
        <w:t xml:space="preserve">representing </w:t>
      </w:r>
      <w:r w:rsidR="00907924" w:rsidRPr="00504D8F">
        <w:rPr>
          <w:rFonts w:ascii="Tahoma" w:hAnsi="Tahoma" w:cs="Tahoma"/>
          <w:sz w:val="24"/>
          <w:szCs w:val="24"/>
        </w:rPr>
        <w:t>8.73</w:t>
      </w:r>
      <w:r w:rsidR="00550A4F" w:rsidRPr="00504D8F">
        <w:rPr>
          <w:rFonts w:ascii="Tahoma" w:hAnsi="Tahoma" w:cs="Tahoma"/>
          <w:sz w:val="24"/>
          <w:szCs w:val="24"/>
        </w:rPr>
        <w:t xml:space="preserve">% of the total NI agricultural labour force, whilst </w:t>
      </w:r>
      <w:r w:rsidR="00907924" w:rsidRPr="00504D8F">
        <w:rPr>
          <w:rFonts w:ascii="Tahoma" w:hAnsi="Tahoma" w:cs="Tahoma"/>
          <w:sz w:val="24"/>
          <w:szCs w:val="24"/>
        </w:rPr>
        <w:t>Down (2,316</w:t>
      </w:r>
      <w:r w:rsidR="001469EE" w:rsidRPr="00504D8F">
        <w:rPr>
          <w:rFonts w:ascii="Tahoma" w:hAnsi="Tahoma" w:cs="Tahoma"/>
          <w:sz w:val="24"/>
          <w:szCs w:val="24"/>
        </w:rPr>
        <w:t>)</w:t>
      </w:r>
      <w:r w:rsidR="00550A4F" w:rsidRPr="00504D8F">
        <w:rPr>
          <w:rFonts w:ascii="Tahoma" w:hAnsi="Tahoma" w:cs="Tahoma"/>
          <w:sz w:val="24"/>
          <w:szCs w:val="24"/>
        </w:rPr>
        <w:t xml:space="preserve"> accounts for  </w:t>
      </w:r>
      <w:r w:rsidR="00907924" w:rsidRPr="00504D8F">
        <w:rPr>
          <w:rFonts w:ascii="Tahoma" w:hAnsi="Tahoma" w:cs="Tahoma"/>
          <w:sz w:val="24"/>
          <w:szCs w:val="24"/>
        </w:rPr>
        <w:t>4.84%</w:t>
      </w:r>
      <w:r w:rsidR="00DA7E23" w:rsidRPr="00504D8F">
        <w:rPr>
          <w:rFonts w:ascii="Tahoma" w:hAnsi="Tahoma" w:cs="Tahoma"/>
          <w:sz w:val="24"/>
          <w:szCs w:val="24"/>
        </w:rPr>
        <w:t>.</w:t>
      </w:r>
    </w:p>
    <w:p w:rsidR="006F3621" w:rsidRDefault="006F3621" w:rsidP="008E411D">
      <w:pPr>
        <w:autoSpaceDE w:val="0"/>
        <w:autoSpaceDN w:val="0"/>
        <w:adjustRightInd w:val="0"/>
        <w:spacing w:after="0" w:line="240" w:lineRule="auto"/>
        <w:jc w:val="both"/>
        <w:rPr>
          <w:rFonts w:ascii="Arial" w:hAnsi="Arial" w:cs="Arial"/>
          <w:color w:val="FF0000"/>
          <w:sz w:val="24"/>
          <w:szCs w:val="24"/>
        </w:rPr>
      </w:pPr>
    </w:p>
    <w:p w:rsidR="006F3621"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3.10</w:t>
      </w:r>
      <w:r w:rsidRPr="00504D8F">
        <w:rPr>
          <w:rFonts w:ascii="Tahoma" w:hAnsi="Tahoma" w:cs="Tahoma"/>
          <w:sz w:val="24"/>
          <w:szCs w:val="24"/>
        </w:rPr>
        <w:t xml:space="preserve"> </w:t>
      </w:r>
      <w:r w:rsidR="00866BF0">
        <w:rPr>
          <w:rFonts w:ascii="Tahoma" w:hAnsi="Tahoma" w:cs="Tahoma"/>
          <w:sz w:val="24"/>
          <w:szCs w:val="24"/>
        </w:rPr>
        <w:tab/>
      </w:r>
      <w:r w:rsidR="006F3621" w:rsidRPr="00504D8F">
        <w:rPr>
          <w:rFonts w:ascii="Tahoma" w:hAnsi="Tahoma" w:cs="Tahoma"/>
          <w:sz w:val="24"/>
          <w:szCs w:val="24"/>
        </w:rPr>
        <w:t>The fis</w:t>
      </w:r>
      <w:r w:rsidR="007930A9" w:rsidRPr="00504D8F">
        <w:rPr>
          <w:rFonts w:ascii="Tahoma" w:hAnsi="Tahoma" w:cs="Tahoma"/>
          <w:sz w:val="24"/>
          <w:szCs w:val="24"/>
        </w:rPr>
        <w:t>hing industry plays an important role in the</w:t>
      </w:r>
      <w:r w:rsidR="006E057B" w:rsidRPr="00504D8F">
        <w:rPr>
          <w:rFonts w:ascii="Tahoma" w:hAnsi="Tahoma" w:cs="Tahoma"/>
          <w:sz w:val="24"/>
          <w:szCs w:val="24"/>
        </w:rPr>
        <w:t xml:space="preserve"> local economies within the </w:t>
      </w:r>
      <w:r w:rsidR="006F3621" w:rsidRPr="00504D8F">
        <w:rPr>
          <w:rFonts w:ascii="Tahoma" w:hAnsi="Tahoma" w:cs="Tahoma"/>
          <w:sz w:val="24"/>
          <w:szCs w:val="24"/>
        </w:rPr>
        <w:t>Council area</w:t>
      </w:r>
      <w:r w:rsidR="006E057B" w:rsidRPr="00504D8F">
        <w:rPr>
          <w:rFonts w:ascii="Tahoma" w:hAnsi="Tahoma" w:cs="Tahoma"/>
          <w:sz w:val="24"/>
          <w:szCs w:val="24"/>
        </w:rPr>
        <w:t xml:space="preserve"> </w:t>
      </w:r>
      <w:r w:rsidR="006F3621" w:rsidRPr="00504D8F">
        <w:rPr>
          <w:rFonts w:ascii="Tahoma" w:hAnsi="Tahoma" w:cs="Tahoma"/>
          <w:sz w:val="24"/>
          <w:szCs w:val="24"/>
        </w:rPr>
        <w:t xml:space="preserve">with </w:t>
      </w:r>
      <w:r w:rsidR="006E057B" w:rsidRPr="00504D8F">
        <w:rPr>
          <w:rFonts w:ascii="Tahoma" w:hAnsi="Tahoma" w:cs="Tahoma"/>
          <w:sz w:val="24"/>
          <w:szCs w:val="24"/>
        </w:rPr>
        <w:t>fleets</w:t>
      </w:r>
      <w:r w:rsidR="009A3F5C" w:rsidRPr="00504D8F">
        <w:rPr>
          <w:rFonts w:ascii="Tahoma" w:hAnsi="Tahoma" w:cs="Tahoma"/>
        </w:rPr>
        <w:t xml:space="preserve"> </w:t>
      </w:r>
      <w:r w:rsidR="009A3F5C" w:rsidRPr="00504D8F">
        <w:rPr>
          <w:rFonts w:ascii="Tahoma" w:hAnsi="Tahoma" w:cs="Tahoma"/>
          <w:sz w:val="24"/>
          <w:szCs w:val="24"/>
        </w:rPr>
        <w:t>and</w:t>
      </w:r>
      <w:r w:rsidR="009A3F5C" w:rsidRPr="00504D8F">
        <w:rPr>
          <w:rFonts w:ascii="Tahoma" w:hAnsi="Tahoma" w:cs="Tahoma"/>
        </w:rPr>
        <w:t xml:space="preserve"> </w:t>
      </w:r>
      <w:r w:rsidR="009A3F5C" w:rsidRPr="00504D8F">
        <w:rPr>
          <w:rFonts w:ascii="Tahoma" w:hAnsi="Tahoma" w:cs="Tahoma"/>
          <w:sz w:val="24"/>
          <w:szCs w:val="24"/>
        </w:rPr>
        <w:t xml:space="preserve">associated processing facilities </w:t>
      </w:r>
      <w:r w:rsidR="006E057B" w:rsidRPr="00504D8F">
        <w:rPr>
          <w:rFonts w:ascii="Tahoma" w:hAnsi="Tahoma" w:cs="Tahoma"/>
          <w:sz w:val="24"/>
          <w:szCs w:val="24"/>
        </w:rPr>
        <w:t>based</w:t>
      </w:r>
      <w:r w:rsidR="006F3621" w:rsidRPr="00504D8F">
        <w:rPr>
          <w:rFonts w:ascii="Tahoma" w:hAnsi="Tahoma" w:cs="Tahoma"/>
          <w:sz w:val="24"/>
          <w:szCs w:val="24"/>
        </w:rPr>
        <w:t xml:space="preserve"> in </w:t>
      </w:r>
      <w:proofErr w:type="spellStart"/>
      <w:r w:rsidR="006F3621" w:rsidRPr="00504D8F">
        <w:rPr>
          <w:rFonts w:ascii="Tahoma" w:hAnsi="Tahoma" w:cs="Tahoma"/>
          <w:sz w:val="24"/>
          <w:szCs w:val="24"/>
        </w:rPr>
        <w:t>Kilkeel</w:t>
      </w:r>
      <w:proofErr w:type="spellEnd"/>
      <w:r w:rsidR="006F3621" w:rsidRPr="00504D8F">
        <w:rPr>
          <w:rFonts w:ascii="Tahoma" w:hAnsi="Tahoma" w:cs="Tahoma"/>
          <w:sz w:val="24"/>
          <w:szCs w:val="24"/>
        </w:rPr>
        <w:t xml:space="preserve"> and </w:t>
      </w:r>
      <w:proofErr w:type="spellStart"/>
      <w:r w:rsidR="006F3621" w:rsidRPr="00504D8F">
        <w:rPr>
          <w:rFonts w:ascii="Tahoma" w:hAnsi="Tahoma" w:cs="Tahoma"/>
          <w:sz w:val="24"/>
          <w:szCs w:val="24"/>
        </w:rPr>
        <w:t>Ardglass</w:t>
      </w:r>
      <w:proofErr w:type="spellEnd"/>
      <w:r w:rsidR="006F3621" w:rsidRPr="00504D8F">
        <w:rPr>
          <w:rFonts w:ascii="Tahoma" w:hAnsi="Tahoma" w:cs="Tahoma"/>
          <w:sz w:val="24"/>
          <w:szCs w:val="24"/>
        </w:rPr>
        <w:t>.</w:t>
      </w:r>
      <w:r w:rsidR="009A3F5C" w:rsidRPr="00504D8F">
        <w:rPr>
          <w:rFonts w:ascii="Tahoma" w:hAnsi="Tahoma" w:cs="Tahoma"/>
          <w:sz w:val="24"/>
          <w:szCs w:val="24"/>
        </w:rPr>
        <w:t xml:space="preserve"> </w:t>
      </w:r>
      <w:r w:rsidR="002B4A6D" w:rsidRPr="00504D8F">
        <w:rPr>
          <w:rFonts w:ascii="Tahoma" w:hAnsi="Tahoma" w:cs="Tahoma"/>
          <w:sz w:val="24"/>
          <w:szCs w:val="24"/>
        </w:rPr>
        <w:t xml:space="preserve">The total value of fish landed in NI in 2013 amounted to </w:t>
      </w:r>
      <w:r w:rsidR="002A7557" w:rsidRPr="00504D8F">
        <w:rPr>
          <w:rFonts w:ascii="Tahoma" w:hAnsi="Tahoma" w:cs="Tahoma"/>
          <w:sz w:val="24"/>
          <w:szCs w:val="24"/>
        </w:rPr>
        <w:t>£</w:t>
      </w:r>
      <w:r w:rsidR="002B4A6D" w:rsidRPr="00504D8F">
        <w:rPr>
          <w:rFonts w:ascii="Tahoma" w:hAnsi="Tahoma" w:cs="Tahoma"/>
          <w:sz w:val="24"/>
          <w:szCs w:val="24"/>
        </w:rPr>
        <w:t xml:space="preserve">23.2 million with </w:t>
      </w:r>
      <w:r w:rsidR="007930A9" w:rsidRPr="00504D8F">
        <w:rPr>
          <w:rFonts w:ascii="Tahoma" w:hAnsi="Tahoma" w:cs="Tahoma"/>
          <w:sz w:val="24"/>
          <w:szCs w:val="24"/>
        </w:rPr>
        <w:t xml:space="preserve">combined catches from </w:t>
      </w:r>
      <w:proofErr w:type="spellStart"/>
      <w:r w:rsidR="00292FF9" w:rsidRPr="00504D8F">
        <w:rPr>
          <w:rFonts w:ascii="Tahoma" w:hAnsi="Tahoma" w:cs="Tahoma"/>
          <w:sz w:val="24"/>
          <w:szCs w:val="24"/>
        </w:rPr>
        <w:t>Kilkeel</w:t>
      </w:r>
      <w:proofErr w:type="spellEnd"/>
      <w:r w:rsidR="00292FF9" w:rsidRPr="00504D8F">
        <w:rPr>
          <w:rFonts w:ascii="Tahoma" w:hAnsi="Tahoma" w:cs="Tahoma"/>
          <w:sz w:val="24"/>
          <w:szCs w:val="24"/>
        </w:rPr>
        <w:t xml:space="preserve"> and </w:t>
      </w:r>
      <w:proofErr w:type="spellStart"/>
      <w:r w:rsidR="00292FF9" w:rsidRPr="00504D8F">
        <w:rPr>
          <w:rFonts w:ascii="Tahoma" w:hAnsi="Tahoma" w:cs="Tahoma"/>
          <w:sz w:val="24"/>
          <w:szCs w:val="24"/>
        </w:rPr>
        <w:t>Ardglass</w:t>
      </w:r>
      <w:proofErr w:type="spellEnd"/>
      <w:r w:rsidR="007930A9" w:rsidRPr="00504D8F">
        <w:rPr>
          <w:rFonts w:ascii="Tahoma" w:hAnsi="Tahoma" w:cs="Tahoma"/>
          <w:sz w:val="24"/>
          <w:szCs w:val="24"/>
        </w:rPr>
        <w:t xml:space="preserve"> contributing </w:t>
      </w:r>
      <w:r w:rsidR="009C4B7E" w:rsidRPr="00504D8F">
        <w:rPr>
          <w:rFonts w:ascii="Tahoma" w:hAnsi="Tahoma" w:cs="Tahoma"/>
          <w:sz w:val="24"/>
          <w:szCs w:val="24"/>
        </w:rPr>
        <w:t>£</w:t>
      </w:r>
      <w:r w:rsidR="007930A9" w:rsidRPr="00504D8F">
        <w:rPr>
          <w:rFonts w:ascii="Tahoma" w:hAnsi="Tahoma" w:cs="Tahoma"/>
          <w:sz w:val="24"/>
          <w:szCs w:val="24"/>
        </w:rPr>
        <w:t>14.6 million</w:t>
      </w:r>
      <w:r w:rsidR="00292FF9" w:rsidRPr="00504D8F">
        <w:rPr>
          <w:rFonts w:ascii="Tahoma" w:hAnsi="Tahoma" w:cs="Tahoma"/>
          <w:sz w:val="24"/>
          <w:szCs w:val="24"/>
        </w:rPr>
        <w:t>.</w:t>
      </w:r>
      <w:r w:rsidR="007930A9" w:rsidRPr="00504D8F">
        <w:rPr>
          <w:rFonts w:ascii="Tahoma" w:hAnsi="Tahoma" w:cs="Tahoma"/>
          <w:sz w:val="24"/>
          <w:szCs w:val="24"/>
        </w:rPr>
        <w:t xml:space="preserve"> She</w:t>
      </w:r>
      <w:r w:rsidR="00D864F1" w:rsidRPr="00504D8F">
        <w:rPr>
          <w:rFonts w:ascii="Tahoma" w:hAnsi="Tahoma" w:cs="Tahoma"/>
          <w:sz w:val="24"/>
          <w:szCs w:val="24"/>
        </w:rPr>
        <w:t>l</w:t>
      </w:r>
      <w:r w:rsidR="007930A9" w:rsidRPr="00504D8F">
        <w:rPr>
          <w:rFonts w:ascii="Tahoma" w:hAnsi="Tahoma" w:cs="Tahoma"/>
          <w:sz w:val="24"/>
          <w:szCs w:val="24"/>
        </w:rPr>
        <w:t xml:space="preserve">lfish make up the most significant part of the overall catch amounting to </w:t>
      </w:r>
      <w:r w:rsidR="002A7557" w:rsidRPr="00504D8F">
        <w:rPr>
          <w:rFonts w:ascii="Tahoma" w:hAnsi="Tahoma" w:cs="Tahoma"/>
          <w:sz w:val="24"/>
          <w:szCs w:val="24"/>
        </w:rPr>
        <w:t>£</w:t>
      </w:r>
      <w:r w:rsidR="007930A9" w:rsidRPr="00504D8F">
        <w:rPr>
          <w:rFonts w:ascii="Tahoma" w:hAnsi="Tahoma" w:cs="Tahoma"/>
          <w:sz w:val="24"/>
          <w:szCs w:val="24"/>
        </w:rPr>
        <w:t>1</w:t>
      </w:r>
      <w:r w:rsidR="00D864F1" w:rsidRPr="00504D8F">
        <w:rPr>
          <w:rFonts w:ascii="Tahoma" w:hAnsi="Tahoma" w:cs="Tahoma"/>
          <w:sz w:val="24"/>
          <w:szCs w:val="24"/>
        </w:rPr>
        <w:t>8.7 mil</w:t>
      </w:r>
      <w:r w:rsidR="00CB0657" w:rsidRPr="00504D8F">
        <w:rPr>
          <w:rFonts w:ascii="Tahoma" w:hAnsi="Tahoma" w:cs="Tahoma"/>
          <w:sz w:val="24"/>
          <w:szCs w:val="24"/>
        </w:rPr>
        <w:t xml:space="preserve">lion or </w:t>
      </w:r>
      <w:r w:rsidR="007930A9" w:rsidRPr="00504D8F">
        <w:rPr>
          <w:rFonts w:ascii="Tahoma" w:hAnsi="Tahoma" w:cs="Tahoma"/>
          <w:sz w:val="24"/>
          <w:szCs w:val="24"/>
        </w:rPr>
        <w:t>81% of the total catch.</w:t>
      </w:r>
      <w:r w:rsidR="00292FF9" w:rsidRPr="00504D8F">
        <w:rPr>
          <w:rFonts w:ascii="Tahoma" w:hAnsi="Tahoma" w:cs="Tahoma"/>
          <w:sz w:val="24"/>
          <w:szCs w:val="24"/>
        </w:rPr>
        <w:t xml:space="preserve"> </w:t>
      </w:r>
      <w:r w:rsidR="006F3621" w:rsidRPr="00504D8F">
        <w:rPr>
          <w:rFonts w:ascii="Tahoma" w:hAnsi="Tahoma" w:cs="Tahoma"/>
          <w:sz w:val="24"/>
          <w:szCs w:val="24"/>
        </w:rPr>
        <w:t xml:space="preserve"> In </w:t>
      </w:r>
      <w:r w:rsidR="002B4A6D" w:rsidRPr="00504D8F">
        <w:rPr>
          <w:rFonts w:ascii="Tahoma" w:hAnsi="Tahoma" w:cs="Tahoma"/>
          <w:sz w:val="24"/>
          <w:szCs w:val="24"/>
        </w:rPr>
        <w:t>20</w:t>
      </w:r>
      <w:r w:rsidR="001B5DE3" w:rsidRPr="00504D8F">
        <w:rPr>
          <w:rFonts w:ascii="Tahoma" w:hAnsi="Tahoma" w:cs="Tahoma"/>
          <w:sz w:val="24"/>
          <w:szCs w:val="24"/>
        </w:rPr>
        <w:t>13</w:t>
      </w:r>
      <w:r w:rsidR="00292FF9" w:rsidRPr="00504D8F">
        <w:rPr>
          <w:rFonts w:ascii="Tahoma" w:hAnsi="Tahoma" w:cs="Tahoma"/>
          <w:sz w:val="24"/>
          <w:szCs w:val="24"/>
        </w:rPr>
        <w:t xml:space="preserve"> 49% of fishermen in the N</w:t>
      </w:r>
      <w:r w:rsidR="00375CD8" w:rsidRPr="00504D8F">
        <w:rPr>
          <w:rFonts w:ascii="Tahoma" w:hAnsi="Tahoma" w:cs="Tahoma"/>
          <w:sz w:val="24"/>
          <w:szCs w:val="24"/>
        </w:rPr>
        <w:t>orth</w:t>
      </w:r>
      <w:r w:rsidR="00292FF9" w:rsidRPr="00504D8F">
        <w:rPr>
          <w:rFonts w:ascii="Tahoma" w:hAnsi="Tahoma" w:cs="Tahoma"/>
          <w:sz w:val="24"/>
          <w:szCs w:val="24"/>
        </w:rPr>
        <w:t>ern Ireland fishing industry were</w:t>
      </w:r>
      <w:r w:rsidR="00375CD8" w:rsidRPr="00504D8F">
        <w:rPr>
          <w:rFonts w:ascii="Tahoma" w:hAnsi="Tahoma" w:cs="Tahoma"/>
          <w:sz w:val="24"/>
          <w:szCs w:val="24"/>
        </w:rPr>
        <w:t xml:space="preserve"> based in </w:t>
      </w:r>
      <w:proofErr w:type="spellStart"/>
      <w:r w:rsidR="00DA7E23" w:rsidRPr="00504D8F">
        <w:rPr>
          <w:rFonts w:ascii="Tahoma" w:hAnsi="Tahoma" w:cs="Tahoma"/>
          <w:sz w:val="24"/>
          <w:szCs w:val="24"/>
        </w:rPr>
        <w:t>K</w:t>
      </w:r>
      <w:r w:rsidR="00375CD8" w:rsidRPr="00504D8F">
        <w:rPr>
          <w:rFonts w:ascii="Tahoma" w:hAnsi="Tahoma" w:cs="Tahoma"/>
          <w:sz w:val="24"/>
          <w:szCs w:val="24"/>
        </w:rPr>
        <w:t>ilkeel</w:t>
      </w:r>
      <w:proofErr w:type="spellEnd"/>
      <w:r w:rsidR="00375CD8" w:rsidRPr="00504D8F">
        <w:rPr>
          <w:rFonts w:ascii="Tahoma" w:hAnsi="Tahoma" w:cs="Tahoma"/>
          <w:sz w:val="24"/>
          <w:szCs w:val="24"/>
        </w:rPr>
        <w:t xml:space="preserve">, </w:t>
      </w:r>
      <w:r w:rsidR="00D864F1" w:rsidRPr="00504D8F">
        <w:rPr>
          <w:rFonts w:ascii="Tahoma" w:hAnsi="Tahoma" w:cs="Tahoma"/>
          <w:sz w:val="24"/>
          <w:szCs w:val="24"/>
        </w:rPr>
        <w:t xml:space="preserve">with a further 15% based in </w:t>
      </w:r>
      <w:proofErr w:type="spellStart"/>
      <w:r w:rsidR="00D864F1" w:rsidRPr="00504D8F">
        <w:rPr>
          <w:rFonts w:ascii="Tahoma" w:hAnsi="Tahoma" w:cs="Tahoma"/>
          <w:sz w:val="24"/>
          <w:szCs w:val="24"/>
        </w:rPr>
        <w:t>Ard</w:t>
      </w:r>
      <w:r w:rsidR="00292FF9" w:rsidRPr="00504D8F">
        <w:rPr>
          <w:rFonts w:ascii="Tahoma" w:hAnsi="Tahoma" w:cs="Tahoma"/>
          <w:sz w:val="24"/>
          <w:szCs w:val="24"/>
        </w:rPr>
        <w:t>glass</w:t>
      </w:r>
      <w:proofErr w:type="spellEnd"/>
      <w:r w:rsidR="00292FF9" w:rsidRPr="00504D8F">
        <w:rPr>
          <w:rFonts w:ascii="Tahoma" w:hAnsi="Tahoma" w:cs="Tahoma"/>
          <w:sz w:val="24"/>
          <w:szCs w:val="24"/>
        </w:rPr>
        <w:t>.</w:t>
      </w:r>
      <w:r w:rsidR="007930A9" w:rsidRPr="00504D8F">
        <w:rPr>
          <w:rStyle w:val="FootnoteReference"/>
          <w:rFonts w:ascii="Tahoma" w:hAnsi="Tahoma" w:cs="Tahoma"/>
          <w:sz w:val="24"/>
          <w:szCs w:val="24"/>
        </w:rPr>
        <w:footnoteReference w:id="8"/>
      </w:r>
      <w:r w:rsidR="00292FF9" w:rsidRPr="00504D8F">
        <w:rPr>
          <w:rFonts w:ascii="Tahoma" w:hAnsi="Tahoma" w:cs="Tahoma"/>
          <w:sz w:val="24"/>
          <w:szCs w:val="24"/>
        </w:rPr>
        <w:t xml:space="preserve"> </w:t>
      </w:r>
      <w:r w:rsidR="00375CD8" w:rsidRPr="00504D8F">
        <w:rPr>
          <w:rFonts w:ascii="Tahoma" w:hAnsi="Tahoma" w:cs="Tahoma"/>
          <w:sz w:val="24"/>
          <w:szCs w:val="24"/>
        </w:rPr>
        <w:t xml:space="preserve">Both </w:t>
      </w:r>
      <w:proofErr w:type="spellStart"/>
      <w:r w:rsidR="00375CD8" w:rsidRPr="00504D8F">
        <w:rPr>
          <w:rFonts w:ascii="Tahoma" w:hAnsi="Tahoma" w:cs="Tahoma"/>
          <w:sz w:val="24"/>
          <w:szCs w:val="24"/>
        </w:rPr>
        <w:t>Carlingford</w:t>
      </w:r>
      <w:proofErr w:type="spellEnd"/>
      <w:r w:rsidR="00375CD8" w:rsidRPr="00504D8F">
        <w:rPr>
          <w:rFonts w:ascii="Tahoma" w:hAnsi="Tahoma" w:cs="Tahoma"/>
          <w:sz w:val="24"/>
          <w:szCs w:val="24"/>
        </w:rPr>
        <w:t xml:space="preserve"> Lough and Strangford Lough have seen the development of aquaculture in recent years. A mussel depuration facility is in operation </w:t>
      </w:r>
      <w:r w:rsidR="006E057B" w:rsidRPr="00504D8F">
        <w:rPr>
          <w:rFonts w:ascii="Tahoma" w:hAnsi="Tahoma" w:cs="Tahoma"/>
          <w:sz w:val="24"/>
          <w:szCs w:val="24"/>
        </w:rPr>
        <w:t xml:space="preserve">at </w:t>
      </w:r>
      <w:proofErr w:type="spellStart"/>
      <w:r w:rsidR="006E057B" w:rsidRPr="00504D8F">
        <w:rPr>
          <w:rFonts w:ascii="Tahoma" w:hAnsi="Tahoma" w:cs="Tahoma"/>
          <w:sz w:val="24"/>
          <w:szCs w:val="24"/>
        </w:rPr>
        <w:t>Warrenpoint</w:t>
      </w:r>
      <w:proofErr w:type="spellEnd"/>
      <w:r w:rsidR="006E057B" w:rsidRPr="00504D8F">
        <w:rPr>
          <w:rFonts w:ascii="Tahoma" w:hAnsi="Tahoma" w:cs="Tahoma"/>
          <w:sz w:val="24"/>
          <w:szCs w:val="24"/>
        </w:rPr>
        <w:t xml:space="preserve"> Harbour together with berthing and loading facilities to serve the shellfish industry within </w:t>
      </w:r>
      <w:proofErr w:type="spellStart"/>
      <w:r w:rsidR="006E057B" w:rsidRPr="00504D8F">
        <w:rPr>
          <w:rFonts w:ascii="Tahoma" w:hAnsi="Tahoma" w:cs="Tahoma"/>
          <w:sz w:val="24"/>
          <w:szCs w:val="24"/>
        </w:rPr>
        <w:t>Carlingford</w:t>
      </w:r>
      <w:proofErr w:type="spellEnd"/>
      <w:r w:rsidR="006E057B" w:rsidRPr="00504D8F">
        <w:rPr>
          <w:rFonts w:ascii="Tahoma" w:hAnsi="Tahoma" w:cs="Tahoma"/>
          <w:sz w:val="24"/>
          <w:szCs w:val="24"/>
        </w:rPr>
        <w:t xml:space="preserve"> Lough. </w:t>
      </w:r>
    </w:p>
    <w:p w:rsidR="006E057B" w:rsidRPr="00504D8F" w:rsidRDefault="006E057B" w:rsidP="008E411D">
      <w:pPr>
        <w:autoSpaceDE w:val="0"/>
        <w:autoSpaceDN w:val="0"/>
        <w:adjustRightInd w:val="0"/>
        <w:spacing w:after="0" w:line="240" w:lineRule="auto"/>
        <w:jc w:val="both"/>
        <w:rPr>
          <w:rFonts w:ascii="Tahoma" w:hAnsi="Tahoma" w:cs="Tahoma"/>
          <w:sz w:val="24"/>
          <w:szCs w:val="24"/>
        </w:rPr>
      </w:pPr>
    </w:p>
    <w:p w:rsidR="006E057B"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3.11</w:t>
      </w:r>
      <w:r w:rsidRPr="00504D8F">
        <w:rPr>
          <w:rFonts w:ascii="Tahoma" w:hAnsi="Tahoma" w:cs="Tahoma"/>
          <w:sz w:val="24"/>
          <w:szCs w:val="24"/>
        </w:rPr>
        <w:t xml:space="preserve"> </w:t>
      </w:r>
      <w:r w:rsidR="00866BF0">
        <w:rPr>
          <w:rFonts w:ascii="Tahoma" w:hAnsi="Tahoma" w:cs="Tahoma"/>
          <w:sz w:val="24"/>
          <w:szCs w:val="24"/>
        </w:rPr>
        <w:tab/>
      </w:r>
      <w:r w:rsidR="00E906F7" w:rsidRPr="00504D8F">
        <w:rPr>
          <w:rFonts w:ascii="Tahoma" w:hAnsi="Tahoma" w:cs="Tahoma"/>
          <w:sz w:val="24"/>
          <w:szCs w:val="24"/>
        </w:rPr>
        <w:t xml:space="preserve">The percentage of people in Newry, </w:t>
      </w:r>
      <w:proofErr w:type="spellStart"/>
      <w:r w:rsidR="00E906F7" w:rsidRPr="00504D8F">
        <w:rPr>
          <w:rFonts w:ascii="Tahoma" w:hAnsi="Tahoma" w:cs="Tahoma"/>
          <w:sz w:val="24"/>
          <w:szCs w:val="24"/>
        </w:rPr>
        <w:t>Mourne</w:t>
      </w:r>
      <w:proofErr w:type="spellEnd"/>
      <w:r w:rsidR="00E906F7" w:rsidRPr="00504D8F">
        <w:rPr>
          <w:rFonts w:ascii="Tahoma" w:hAnsi="Tahoma" w:cs="Tahoma"/>
          <w:sz w:val="24"/>
          <w:szCs w:val="24"/>
        </w:rPr>
        <w:t xml:space="preserve"> and </w:t>
      </w:r>
      <w:proofErr w:type="gramStart"/>
      <w:r w:rsidR="00E906F7" w:rsidRPr="00504D8F">
        <w:rPr>
          <w:rFonts w:ascii="Tahoma" w:hAnsi="Tahoma" w:cs="Tahoma"/>
          <w:sz w:val="24"/>
          <w:szCs w:val="24"/>
        </w:rPr>
        <w:t>Down</w:t>
      </w:r>
      <w:proofErr w:type="gramEnd"/>
      <w:r w:rsidR="00E906F7" w:rsidRPr="00504D8F">
        <w:rPr>
          <w:rFonts w:ascii="Tahoma" w:hAnsi="Tahoma" w:cs="Tahoma"/>
          <w:sz w:val="24"/>
          <w:szCs w:val="24"/>
        </w:rPr>
        <w:t xml:space="preserve"> working in the mining and quarrying industry (</w:t>
      </w:r>
      <w:r w:rsidR="002A7557" w:rsidRPr="00504D8F">
        <w:rPr>
          <w:rFonts w:ascii="Tahoma" w:hAnsi="Tahoma" w:cs="Tahoma"/>
          <w:sz w:val="24"/>
          <w:szCs w:val="24"/>
        </w:rPr>
        <w:t>0</w:t>
      </w:r>
      <w:r w:rsidR="00E906F7" w:rsidRPr="00504D8F">
        <w:rPr>
          <w:rFonts w:ascii="Tahoma" w:hAnsi="Tahoma" w:cs="Tahoma"/>
          <w:sz w:val="24"/>
          <w:szCs w:val="24"/>
        </w:rPr>
        <w:t>.48</w:t>
      </w:r>
      <w:r w:rsidR="002A7557" w:rsidRPr="00504D8F">
        <w:rPr>
          <w:rFonts w:ascii="Tahoma" w:hAnsi="Tahoma" w:cs="Tahoma"/>
          <w:sz w:val="24"/>
          <w:szCs w:val="24"/>
        </w:rPr>
        <w:t>%</w:t>
      </w:r>
      <w:r w:rsidR="00E906F7" w:rsidRPr="00504D8F">
        <w:rPr>
          <w:rFonts w:ascii="Tahoma" w:hAnsi="Tahoma" w:cs="Tahoma"/>
          <w:sz w:val="24"/>
          <w:szCs w:val="24"/>
        </w:rPr>
        <w:t>) is only slightly above the regional average (</w:t>
      </w:r>
      <w:r w:rsidR="002A7557" w:rsidRPr="00504D8F">
        <w:rPr>
          <w:rFonts w:ascii="Tahoma" w:hAnsi="Tahoma" w:cs="Tahoma"/>
          <w:sz w:val="24"/>
          <w:szCs w:val="24"/>
        </w:rPr>
        <w:t>0</w:t>
      </w:r>
      <w:r w:rsidR="00E906F7" w:rsidRPr="00504D8F">
        <w:rPr>
          <w:rFonts w:ascii="Tahoma" w:hAnsi="Tahoma" w:cs="Tahoma"/>
          <w:sz w:val="24"/>
          <w:szCs w:val="24"/>
        </w:rPr>
        <w:t>.25%)</w:t>
      </w:r>
      <w:r w:rsidR="00651F0E" w:rsidRPr="00504D8F">
        <w:rPr>
          <w:rFonts w:ascii="Tahoma" w:hAnsi="Tahoma" w:cs="Tahoma"/>
          <w:sz w:val="24"/>
          <w:szCs w:val="24"/>
        </w:rPr>
        <w:t>.</w:t>
      </w:r>
      <w:r w:rsidR="00651F0E" w:rsidRPr="00504D8F">
        <w:rPr>
          <w:rFonts w:ascii="Tahoma" w:hAnsi="Tahoma" w:cs="Tahoma"/>
        </w:rPr>
        <w:t xml:space="preserve"> </w:t>
      </w:r>
      <w:r w:rsidR="00651F0E" w:rsidRPr="00504D8F">
        <w:rPr>
          <w:rFonts w:ascii="Tahoma" w:hAnsi="Tahoma" w:cs="Tahoma"/>
          <w:sz w:val="24"/>
          <w:szCs w:val="24"/>
        </w:rPr>
        <w:t xml:space="preserve">All supplies of sand and gravel in the area originate from superficial deposits along the coastal lowlands south of the </w:t>
      </w:r>
      <w:proofErr w:type="spellStart"/>
      <w:r w:rsidR="00651F0E" w:rsidRPr="00504D8F">
        <w:rPr>
          <w:rFonts w:ascii="Tahoma" w:hAnsi="Tahoma" w:cs="Tahoma"/>
          <w:sz w:val="24"/>
          <w:szCs w:val="24"/>
        </w:rPr>
        <w:t>Mourne</w:t>
      </w:r>
      <w:proofErr w:type="spellEnd"/>
      <w:r w:rsidR="00651F0E" w:rsidRPr="00504D8F">
        <w:rPr>
          <w:rFonts w:ascii="Tahoma" w:hAnsi="Tahoma" w:cs="Tahoma"/>
          <w:sz w:val="24"/>
          <w:szCs w:val="24"/>
        </w:rPr>
        <w:t xml:space="preserve"> Mountains.</w:t>
      </w:r>
    </w:p>
    <w:p w:rsidR="006F3621" w:rsidRPr="00504D8F" w:rsidRDefault="006F3621" w:rsidP="00550A4F">
      <w:pPr>
        <w:autoSpaceDE w:val="0"/>
        <w:autoSpaceDN w:val="0"/>
        <w:adjustRightInd w:val="0"/>
        <w:spacing w:after="0" w:line="240" w:lineRule="auto"/>
        <w:rPr>
          <w:rFonts w:ascii="Tahoma" w:hAnsi="Tahoma" w:cs="Tahoma"/>
          <w:color w:val="FF0000"/>
          <w:sz w:val="24"/>
          <w:szCs w:val="24"/>
        </w:rPr>
      </w:pPr>
    </w:p>
    <w:p w:rsidR="00550A4F" w:rsidRPr="00504D8F" w:rsidRDefault="001B0BCA" w:rsidP="008E411D">
      <w:pPr>
        <w:autoSpaceDE w:val="0"/>
        <w:autoSpaceDN w:val="0"/>
        <w:adjustRightInd w:val="0"/>
        <w:spacing w:after="0" w:line="240" w:lineRule="auto"/>
        <w:jc w:val="both"/>
        <w:rPr>
          <w:rFonts w:ascii="Tahoma" w:hAnsi="Tahoma" w:cs="Tahoma"/>
          <w:color w:val="FF0000"/>
          <w:sz w:val="24"/>
          <w:szCs w:val="24"/>
        </w:rPr>
      </w:pPr>
      <w:r w:rsidRPr="00504D8F">
        <w:rPr>
          <w:rFonts w:ascii="Tahoma" w:hAnsi="Tahoma" w:cs="Tahoma"/>
          <w:b/>
          <w:sz w:val="24"/>
          <w:szCs w:val="24"/>
        </w:rPr>
        <w:t>3.12</w:t>
      </w:r>
      <w:r w:rsidRPr="00504D8F">
        <w:rPr>
          <w:rFonts w:ascii="Tahoma" w:hAnsi="Tahoma" w:cs="Tahoma"/>
          <w:sz w:val="24"/>
          <w:szCs w:val="24"/>
        </w:rPr>
        <w:t xml:space="preserve"> </w:t>
      </w:r>
      <w:r w:rsidR="00866BF0">
        <w:rPr>
          <w:rFonts w:ascii="Tahoma" w:hAnsi="Tahoma" w:cs="Tahoma"/>
          <w:sz w:val="24"/>
          <w:szCs w:val="24"/>
        </w:rPr>
        <w:tab/>
      </w:r>
      <w:r w:rsidR="00E906F7" w:rsidRPr="00504D8F">
        <w:rPr>
          <w:rFonts w:ascii="Tahoma" w:hAnsi="Tahoma" w:cs="Tahoma"/>
          <w:sz w:val="24"/>
          <w:szCs w:val="24"/>
        </w:rPr>
        <w:t>C</w:t>
      </w:r>
      <w:r w:rsidR="00550A4F" w:rsidRPr="00504D8F">
        <w:rPr>
          <w:rFonts w:ascii="Tahoma" w:hAnsi="Tahoma" w:cs="Tahoma"/>
          <w:sz w:val="24"/>
          <w:szCs w:val="24"/>
        </w:rPr>
        <w:t xml:space="preserve">hanges in farming </w:t>
      </w:r>
      <w:r w:rsidR="00375CD8" w:rsidRPr="00504D8F">
        <w:rPr>
          <w:rFonts w:ascii="Tahoma" w:hAnsi="Tahoma" w:cs="Tahoma"/>
          <w:sz w:val="24"/>
          <w:szCs w:val="24"/>
        </w:rPr>
        <w:t xml:space="preserve">and fisheries industries </w:t>
      </w:r>
      <w:r w:rsidR="00550A4F" w:rsidRPr="00504D8F">
        <w:rPr>
          <w:rFonts w:ascii="Tahoma" w:hAnsi="Tahoma" w:cs="Tahoma"/>
          <w:sz w:val="24"/>
          <w:szCs w:val="24"/>
        </w:rPr>
        <w:t>suggest that employ</w:t>
      </w:r>
      <w:r w:rsidR="006E057B" w:rsidRPr="00504D8F">
        <w:rPr>
          <w:rFonts w:ascii="Tahoma" w:hAnsi="Tahoma" w:cs="Tahoma"/>
          <w:sz w:val="24"/>
          <w:szCs w:val="24"/>
        </w:rPr>
        <w:t>ment in the primary sector is likely to</w:t>
      </w:r>
      <w:r w:rsidR="00550A4F" w:rsidRPr="00504D8F">
        <w:rPr>
          <w:rFonts w:ascii="Tahoma" w:hAnsi="Tahoma" w:cs="Tahoma"/>
          <w:sz w:val="24"/>
          <w:szCs w:val="24"/>
        </w:rPr>
        <w:t xml:space="preserve"> continue to decline, resulting in a greater number of people looking for employment in the</w:t>
      </w:r>
      <w:r w:rsidR="00BB04F6" w:rsidRPr="00504D8F">
        <w:rPr>
          <w:rFonts w:ascii="Tahoma" w:hAnsi="Tahoma" w:cs="Tahoma"/>
          <w:sz w:val="24"/>
          <w:szCs w:val="24"/>
        </w:rPr>
        <w:t xml:space="preserve"> </w:t>
      </w:r>
      <w:r w:rsidR="00550A4F" w:rsidRPr="00504D8F">
        <w:rPr>
          <w:rFonts w:ascii="Tahoma" w:hAnsi="Tahoma" w:cs="Tahoma"/>
          <w:sz w:val="24"/>
          <w:szCs w:val="24"/>
        </w:rPr>
        <w:t xml:space="preserve">secondary and tertiary sectors. </w:t>
      </w:r>
    </w:p>
    <w:p w:rsidR="00550A4F" w:rsidRDefault="00550A4F" w:rsidP="00550A4F">
      <w:pPr>
        <w:autoSpaceDE w:val="0"/>
        <w:autoSpaceDN w:val="0"/>
        <w:adjustRightInd w:val="0"/>
        <w:spacing w:after="0" w:line="240" w:lineRule="auto"/>
        <w:rPr>
          <w:rFonts w:ascii="Arial" w:hAnsi="Arial" w:cs="Arial"/>
          <w:sz w:val="24"/>
          <w:szCs w:val="24"/>
        </w:rPr>
      </w:pPr>
    </w:p>
    <w:p w:rsidR="00BC3DF9" w:rsidRPr="00504D8F" w:rsidRDefault="00BC3DF9" w:rsidP="00BC3DF9">
      <w:pPr>
        <w:autoSpaceDE w:val="0"/>
        <w:autoSpaceDN w:val="0"/>
        <w:adjustRightInd w:val="0"/>
        <w:spacing w:after="0" w:line="240" w:lineRule="auto"/>
        <w:rPr>
          <w:rFonts w:ascii="Tahoma" w:hAnsi="Tahoma" w:cs="Tahoma"/>
          <w:b/>
          <w:sz w:val="24"/>
          <w:szCs w:val="24"/>
        </w:rPr>
      </w:pPr>
      <w:r w:rsidRPr="00504D8F">
        <w:rPr>
          <w:rFonts w:ascii="Tahoma" w:hAnsi="Tahoma" w:cs="Tahoma"/>
          <w:b/>
          <w:sz w:val="24"/>
          <w:szCs w:val="24"/>
        </w:rPr>
        <w:t xml:space="preserve">Table 1: Newry, </w:t>
      </w:r>
      <w:proofErr w:type="spellStart"/>
      <w:r w:rsidRPr="00504D8F">
        <w:rPr>
          <w:rFonts w:ascii="Tahoma" w:hAnsi="Tahoma" w:cs="Tahoma"/>
          <w:b/>
          <w:sz w:val="24"/>
          <w:szCs w:val="24"/>
        </w:rPr>
        <w:t>Mourne</w:t>
      </w:r>
      <w:proofErr w:type="spellEnd"/>
      <w:r w:rsidRPr="00504D8F">
        <w:rPr>
          <w:rFonts w:ascii="Tahoma" w:hAnsi="Tahoma" w:cs="Tahoma"/>
          <w:b/>
          <w:sz w:val="24"/>
          <w:szCs w:val="24"/>
        </w:rPr>
        <w:t xml:space="preserve"> &amp; Down Employment by Sector in 2011.</w:t>
      </w:r>
    </w:p>
    <w:p w:rsidR="00BC3DF9" w:rsidRDefault="00BC3DF9" w:rsidP="00550A4F">
      <w:pPr>
        <w:autoSpaceDE w:val="0"/>
        <w:autoSpaceDN w:val="0"/>
        <w:adjustRightInd w:val="0"/>
        <w:spacing w:after="0" w:line="240" w:lineRule="auto"/>
        <w:rPr>
          <w:rFonts w:ascii="Arial" w:hAnsi="Arial" w:cs="Arial"/>
          <w:b/>
          <w:sz w:val="24"/>
          <w:szCs w:val="24"/>
          <w:highlight w:val="green"/>
        </w:rPr>
      </w:pPr>
    </w:p>
    <w:tbl>
      <w:tblPr>
        <w:tblStyle w:val="TableGrid"/>
        <w:tblW w:w="8364" w:type="dxa"/>
        <w:tblInd w:w="108" w:type="dxa"/>
        <w:tblLook w:val="04A0" w:firstRow="1" w:lastRow="0" w:firstColumn="1" w:lastColumn="0" w:noHBand="0" w:noVBand="1"/>
      </w:tblPr>
      <w:tblGrid>
        <w:gridCol w:w="2127"/>
        <w:gridCol w:w="1984"/>
        <w:gridCol w:w="1276"/>
        <w:gridCol w:w="1417"/>
        <w:gridCol w:w="1560"/>
      </w:tblGrid>
      <w:tr w:rsidR="00BC3DF9" w:rsidRPr="00DA5C90" w:rsidTr="000F50B9">
        <w:tc>
          <w:tcPr>
            <w:tcW w:w="2127" w:type="dxa"/>
            <w:tcBorders>
              <w:bottom w:val="single" w:sz="4" w:space="0" w:color="auto"/>
            </w:tcBorders>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Sector</w:t>
            </w:r>
          </w:p>
        </w:tc>
        <w:tc>
          <w:tcPr>
            <w:tcW w:w="1984"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 xml:space="preserve">Newry &amp; </w:t>
            </w:r>
            <w:proofErr w:type="spellStart"/>
            <w:r w:rsidRPr="00504D8F">
              <w:rPr>
                <w:rFonts w:ascii="Tahoma" w:hAnsi="Tahoma" w:cs="Tahoma"/>
                <w:b/>
                <w:sz w:val="20"/>
                <w:szCs w:val="20"/>
              </w:rPr>
              <w:t>Mourne</w:t>
            </w:r>
            <w:proofErr w:type="spellEnd"/>
          </w:p>
        </w:tc>
        <w:tc>
          <w:tcPr>
            <w:tcW w:w="1276"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Down</w:t>
            </w:r>
          </w:p>
        </w:tc>
        <w:tc>
          <w:tcPr>
            <w:tcW w:w="1417"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NMD*</w:t>
            </w:r>
          </w:p>
        </w:tc>
        <w:tc>
          <w:tcPr>
            <w:tcW w:w="1560"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NI</w:t>
            </w:r>
          </w:p>
        </w:tc>
      </w:tr>
      <w:tr w:rsidR="00BC3DF9" w:rsidRPr="00DA5C90" w:rsidTr="000F50B9">
        <w:tc>
          <w:tcPr>
            <w:tcW w:w="2127"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Primary</w:t>
            </w:r>
          </w:p>
        </w:tc>
        <w:tc>
          <w:tcPr>
            <w:tcW w:w="1984"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1,397</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(3.37%)</w:t>
            </w:r>
          </w:p>
        </w:tc>
        <w:tc>
          <w:tcPr>
            <w:tcW w:w="1276"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835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(2.70%)</w:t>
            </w:r>
          </w:p>
        </w:tc>
        <w:tc>
          <w:tcPr>
            <w:tcW w:w="1417"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2,232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(3.0%)</w:t>
            </w:r>
          </w:p>
        </w:tc>
        <w:tc>
          <w:tcPr>
            <w:tcW w:w="1560"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19794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(2.49%)</w:t>
            </w:r>
          </w:p>
        </w:tc>
      </w:tr>
      <w:tr w:rsidR="00BC3DF9" w:rsidRPr="00DA5C90" w:rsidTr="000F50B9">
        <w:trPr>
          <w:trHeight w:val="415"/>
        </w:trPr>
        <w:tc>
          <w:tcPr>
            <w:tcW w:w="2127"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Secondary</w:t>
            </w:r>
          </w:p>
        </w:tc>
        <w:tc>
          <w:tcPr>
            <w:tcW w:w="1984" w:type="dxa"/>
          </w:tcPr>
          <w:p w:rsid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9,931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(23.95%)</w:t>
            </w:r>
          </w:p>
        </w:tc>
        <w:tc>
          <w:tcPr>
            <w:tcW w:w="1276"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5,433</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(17.58%) </w:t>
            </w:r>
          </w:p>
        </w:tc>
        <w:tc>
          <w:tcPr>
            <w:tcW w:w="1417" w:type="dxa"/>
          </w:tcPr>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15,364 (20.76%)</w:t>
            </w:r>
          </w:p>
        </w:tc>
        <w:tc>
          <w:tcPr>
            <w:tcW w:w="1560"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142131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(17.87%)</w:t>
            </w:r>
          </w:p>
        </w:tc>
      </w:tr>
      <w:tr w:rsidR="00BC3DF9" w:rsidRPr="00DA5C90" w:rsidTr="000F50B9">
        <w:tc>
          <w:tcPr>
            <w:tcW w:w="2127" w:type="dxa"/>
            <w:shd w:val="pct10" w:color="auto" w:fill="auto"/>
          </w:tcPr>
          <w:p w:rsidR="00BC3DF9" w:rsidRPr="00504D8F" w:rsidRDefault="00BC3DF9" w:rsidP="008633D6">
            <w:pPr>
              <w:autoSpaceDE w:val="0"/>
              <w:autoSpaceDN w:val="0"/>
              <w:adjustRightInd w:val="0"/>
              <w:rPr>
                <w:rFonts w:ascii="Tahoma" w:hAnsi="Tahoma" w:cs="Tahoma"/>
                <w:b/>
                <w:sz w:val="20"/>
                <w:szCs w:val="20"/>
              </w:rPr>
            </w:pPr>
            <w:r w:rsidRPr="00504D8F">
              <w:rPr>
                <w:rFonts w:ascii="Tahoma" w:hAnsi="Tahoma" w:cs="Tahoma"/>
                <w:b/>
                <w:sz w:val="20"/>
                <w:szCs w:val="20"/>
              </w:rPr>
              <w:t>Tertiary</w:t>
            </w:r>
          </w:p>
        </w:tc>
        <w:tc>
          <w:tcPr>
            <w:tcW w:w="1984" w:type="dxa"/>
          </w:tcPr>
          <w:p w:rsid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30,135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(72.68%)</w:t>
            </w:r>
          </w:p>
        </w:tc>
        <w:tc>
          <w:tcPr>
            <w:tcW w:w="1276"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 24,642</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(79.72%)</w:t>
            </w:r>
          </w:p>
        </w:tc>
        <w:tc>
          <w:tcPr>
            <w:tcW w:w="1417"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54,777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(76.2%)</w:t>
            </w:r>
          </w:p>
        </w:tc>
        <w:tc>
          <w:tcPr>
            <w:tcW w:w="1560" w:type="dxa"/>
          </w:tcPr>
          <w:p w:rsidR="00537B6E"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 xml:space="preserve">633338 </w:t>
            </w:r>
          </w:p>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(79.64%)</w:t>
            </w:r>
          </w:p>
        </w:tc>
      </w:tr>
      <w:tr w:rsidR="00BC3DF9" w:rsidRPr="00DA5C90" w:rsidTr="000F50B9">
        <w:tc>
          <w:tcPr>
            <w:tcW w:w="2127" w:type="dxa"/>
            <w:shd w:val="pct10" w:color="auto" w:fill="auto"/>
          </w:tcPr>
          <w:p w:rsidR="00BC3DF9" w:rsidRPr="00504D8F" w:rsidRDefault="00DA7E23" w:rsidP="008633D6">
            <w:pPr>
              <w:autoSpaceDE w:val="0"/>
              <w:autoSpaceDN w:val="0"/>
              <w:adjustRightInd w:val="0"/>
              <w:rPr>
                <w:rFonts w:ascii="Tahoma" w:hAnsi="Tahoma" w:cs="Tahoma"/>
                <w:b/>
                <w:sz w:val="20"/>
                <w:szCs w:val="20"/>
              </w:rPr>
            </w:pPr>
            <w:r w:rsidRPr="00504D8F">
              <w:rPr>
                <w:rFonts w:ascii="Tahoma" w:hAnsi="Tahoma" w:cs="Tahoma"/>
                <w:b/>
                <w:sz w:val="20"/>
                <w:szCs w:val="20"/>
              </w:rPr>
              <w:t>Total (</w:t>
            </w:r>
            <w:r w:rsidR="00BC3DF9" w:rsidRPr="00504D8F">
              <w:rPr>
                <w:rFonts w:ascii="Tahoma" w:hAnsi="Tahoma" w:cs="Tahoma"/>
                <w:b/>
                <w:sz w:val="20"/>
                <w:szCs w:val="20"/>
              </w:rPr>
              <w:t>P,S,&amp; T</w:t>
            </w:r>
            <w:r w:rsidRPr="00504D8F">
              <w:rPr>
                <w:rFonts w:ascii="Tahoma" w:hAnsi="Tahoma" w:cs="Tahoma"/>
                <w:b/>
                <w:sz w:val="20"/>
                <w:szCs w:val="20"/>
              </w:rPr>
              <w:t>)</w:t>
            </w:r>
          </w:p>
        </w:tc>
        <w:tc>
          <w:tcPr>
            <w:tcW w:w="1984" w:type="dxa"/>
          </w:tcPr>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41,463</w:t>
            </w:r>
          </w:p>
        </w:tc>
        <w:tc>
          <w:tcPr>
            <w:tcW w:w="1276" w:type="dxa"/>
          </w:tcPr>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30,910</w:t>
            </w:r>
          </w:p>
        </w:tc>
        <w:tc>
          <w:tcPr>
            <w:tcW w:w="1417" w:type="dxa"/>
          </w:tcPr>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72,373</w:t>
            </w:r>
          </w:p>
        </w:tc>
        <w:tc>
          <w:tcPr>
            <w:tcW w:w="1560" w:type="dxa"/>
          </w:tcPr>
          <w:p w:rsidR="00BC3DF9" w:rsidRPr="00504D8F" w:rsidRDefault="00BC3DF9" w:rsidP="008633D6">
            <w:pPr>
              <w:autoSpaceDE w:val="0"/>
              <w:autoSpaceDN w:val="0"/>
              <w:adjustRightInd w:val="0"/>
              <w:rPr>
                <w:rFonts w:ascii="Tahoma" w:hAnsi="Tahoma" w:cs="Tahoma"/>
                <w:sz w:val="20"/>
                <w:szCs w:val="20"/>
              </w:rPr>
            </w:pPr>
            <w:r w:rsidRPr="00504D8F">
              <w:rPr>
                <w:rFonts w:ascii="Tahoma" w:hAnsi="Tahoma" w:cs="Tahoma"/>
                <w:sz w:val="20"/>
                <w:szCs w:val="20"/>
              </w:rPr>
              <w:t>795,263</w:t>
            </w:r>
          </w:p>
        </w:tc>
      </w:tr>
    </w:tbl>
    <w:p w:rsidR="00BC3DF9" w:rsidRDefault="00BC3DF9" w:rsidP="00550A4F">
      <w:pPr>
        <w:autoSpaceDE w:val="0"/>
        <w:autoSpaceDN w:val="0"/>
        <w:adjustRightInd w:val="0"/>
        <w:spacing w:after="0" w:line="240" w:lineRule="auto"/>
        <w:rPr>
          <w:rFonts w:ascii="Arial" w:hAnsi="Arial" w:cs="Arial"/>
          <w:b/>
          <w:sz w:val="24"/>
          <w:szCs w:val="24"/>
          <w:highlight w:val="green"/>
        </w:rPr>
      </w:pPr>
    </w:p>
    <w:p w:rsidR="00BC3DF9" w:rsidRPr="00504D8F" w:rsidRDefault="00BC3DF9" w:rsidP="00BC3DF9">
      <w:pPr>
        <w:autoSpaceDE w:val="0"/>
        <w:autoSpaceDN w:val="0"/>
        <w:adjustRightInd w:val="0"/>
        <w:spacing w:after="0" w:line="240" w:lineRule="auto"/>
        <w:rPr>
          <w:rFonts w:ascii="Tahoma" w:hAnsi="Tahoma" w:cs="Tahoma"/>
          <w:sz w:val="16"/>
          <w:szCs w:val="16"/>
        </w:rPr>
      </w:pPr>
      <w:r w:rsidRPr="00504D8F">
        <w:rPr>
          <w:rFonts w:ascii="Tahoma" w:hAnsi="Tahoma" w:cs="Tahoma"/>
          <w:sz w:val="16"/>
          <w:szCs w:val="16"/>
        </w:rPr>
        <w:t xml:space="preserve">Source: NISRA </w:t>
      </w:r>
      <w:r w:rsidR="006562AD" w:rsidRPr="00504D8F">
        <w:rPr>
          <w:rFonts w:ascii="Tahoma" w:hAnsi="Tahoma" w:cs="Tahoma"/>
          <w:sz w:val="16"/>
          <w:szCs w:val="16"/>
        </w:rPr>
        <w:t>2001 Industry of Employment: KS11A (administrative geographies</w:t>
      </w:r>
      <w:proofErr w:type="gramStart"/>
      <w:r w:rsidR="006562AD" w:rsidRPr="00504D8F">
        <w:rPr>
          <w:rFonts w:ascii="Tahoma" w:hAnsi="Tahoma" w:cs="Tahoma"/>
          <w:sz w:val="16"/>
          <w:szCs w:val="16"/>
        </w:rPr>
        <w:t>)</w:t>
      </w:r>
      <w:r w:rsidR="009B0EE4" w:rsidRPr="00504D8F">
        <w:rPr>
          <w:rFonts w:ascii="Tahoma" w:hAnsi="Tahoma" w:cs="Tahoma"/>
          <w:sz w:val="16"/>
          <w:szCs w:val="16"/>
        </w:rPr>
        <w:t xml:space="preserve">  </w:t>
      </w:r>
      <w:r w:rsidR="00E471AD" w:rsidRPr="00504D8F">
        <w:rPr>
          <w:rFonts w:ascii="Tahoma" w:hAnsi="Tahoma" w:cs="Tahoma"/>
          <w:sz w:val="16"/>
          <w:szCs w:val="16"/>
        </w:rPr>
        <w:t>and</w:t>
      </w:r>
      <w:proofErr w:type="gramEnd"/>
      <w:r w:rsidR="00E471AD" w:rsidRPr="00504D8F">
        <w:rPr>
          <w:rFonts w:ascii="Tahoma" w:hAnsi="Tahoma" w:cs="Tahoma"/>
          <w:sz w:val="16"/>
          <w:szCs w:val="16"/>
        </w:rPr>
        <w:t xml:space="preserve"> </w:t>
      </w:r>
      <w:r w:rsidR="009B0EE4" w:rsidRPr="00504D8F">
        <w:rPr>
          <w:rFonts w:ascii="Tahoma" w:hAnsi="Tahoma" w:cs="Tahoma"/>
          <w:sz w:val="16"/>
          <w:szCs w:val="16"/>
        </w:rPr>
        <w:t xml:space="preserve">2011 </w:t>
      </w:r>
      <w:r w:rsidRPr="00504D8F">
        <w:rPr>
          <w:rFonts w:ascii="Tahoma" w:hAnsi="Tahoma" w:cs="Tahoma"/>
          <w:sz w:val="16"/>
          <w:szCs w:val="16"/>
        </w:rPr>
        <w:t>Industry of Employment: KS605NI (administrative geographies)</w:t>
      </w:r>
    </w:p>
    <w:p w:rsidR="00BC3DF9" w:rsidRPr="00504D8F" w:rsidRDefault="00BC3DF9" w:rsidP="00BC3DF9">
      <w:pPr>
        <w:autoSpaceDE w:val="0"/>
        <w:autoSpaceDN w:val="0"/>
        <w:adjustRightInd w:val="0"/>
        <w:spacing w:after="0" w:line="240" w:lineRule="auto"/>
        <w:rPr>
          <w:rFonts w:ascii="Tahoma" w:hAnsi="Tahoma" w:cs="Tahoma"/>
          <w:sz w:val="16"/>
          <w:szCs w:val="16"/>
        </w:rPr>
      </w:pPr>
      <w:r w:rsidRPr="00504D8F">
        <w:rPr>
          <w:rFonts w:ascii="Tahoma" w:hAnsi="Tahoma" w:cs="Tahoma"/>
          <w:sz w:val="16"/>
          <w:szCs w:val="16"/>
        </w:rPr>
        <w:t>* NMD is a basic total of 2 x 2011</w:t>
      </w:r>
      <w:r w:rsidR="001F061D" w:rsidRPr="00504D8F">
        <w:rPr>
          <w:rFonts w:ascii="Tahoma" w:hAnsi="Tahoma" w:cs="Tahoma"/>
          <w:sz w:val="16"/>
          <w:szCs w:val="16"/>
        </w:rPr>
        <w:t xml:space="preserve"> and percentage average </w:t>
      </w:r>
      <w:proofErr w:type="gramStart"/>
      <w:r w:rsidR="001F061D" w:rsidRPr="00504D8F">
        <w:rPr>
          <w:rFonts w:ascii="Tahoma" w:hAnsi="Tahoma" w:cs="Tahoma"/>
          <w:sz w:val="16"/>
          <w:szCs w:val="16"/>
        </w:rPr>
        <w:t xml:space="preserve">of </w:t>
      </w:r>
      <w:r w:rsidRPr="00504D8F">
        <w:rPr>
          <w:rFonts w:ascii="Tahoma" w:hAnsi="Tahoma" w:cs="Tahoma"/>
          <w:sz w:val="16"/>
          <w:szCs w:val="16"/>
        </w:rPr>
        <w:t xml:space="preserve"> LGD</w:t>
      </w:r>
      <w:proofErr w:type="gramEnd"/>
      <w:r w:rsidRPr="00504D8F">
        <w:rPr>
          <w:rFonts w:ascii="Tahoma" w:hAnsi="Tahoma" w:cs="Tahoma"/>
          <w:sz w:val="16"/>
          <w:szCs w:val="16"/>
        </w:rPr>
        <w:t xml:space="preserve"> figures.</w:t>
      </w:r>
    </w:p>
    <w:p w:rsidR="00BC3DF9" w:rsidRDefault="00BC3DF9" w:rsidP="00550A4F">
      <w:pPr>
        <w:autoSpaceDE w:val="0"/>
        <w:autoSpaceDN w:val="0"/>
        <w:adjustRightInd w:val="0"/>
        <w:spacing w:after="0" w:line="240" w:lineRule="auto"/>
        <w:rPr>
          <w:rFonts w:ascii="Arial" w:hAnsi="Arial" w:cs="Arial"/>
          <w:b/>
          <w:sz w:val="24"/>
          <w:szCs w:val="24"/>
          <w:highlight w:val="green"/>
        </w:rPr>
      </w:pPr>
    </w:p>
    <w:p w:rsidR="00253DCE" w:rsidRPr="00504D8F" w:rsidRDefault="00AD3F43" w:rsidP="00550A4F">
      <w:pPr>
        <w:autoSpaceDE w:val="0"/>
        <w:autoSpaceDN w:val="0"/>
        <w:adjustRightInd w:val="0"/>
        <w:spacing w:after="0" w:line="240" w:lineRule="auto"/>
        <w:rPr>
          <w:rFonts w:ascii="Tahoma" w:hAnsi="Tahoma" w:cs="Tahoma"/>
          <w:b/>
          <w:sz w:val="24"/>
          <w:szCs w:val="24"/>
        </w:rPr>
      </w:pPr>
      <w:r w:rsidRPr="00504D8F">
        <w:rPr>
          <w:rFonts w:ascii="Tahoma" w:hAnsi="Tahoma" w:cs="Tahoma"/>
          <w:b/>
          <w:sz w:val="24"/>
          <w:szCs w:val="24"/>
        </w:rPr>
        <w:lastRenderedPageBreak/>
        <w:t>Figure 1</w:t>
      </w:r>
      <w:r w:rsidR="00253DCE" w:rsidRPr="00504D8F">
        <w:rPr>
          <w:rFonts w:ascii="Tahoma" w:hAnsi="Tahoma" w:cs="Tahoma"/>
          <w:b/>
          <w:sz w:val="24"/>
          <w:szCs w:val="24"/>
        </w:rPr>
        <w:t xml:space="preserve">: Illustration of </w:t>
      </w:r>
      <w:r w:rsidR="00C04F03" w:rsidRPr="00504D8F">
        <w:rPr>
          <w:rFonts w:ascii="Tahoma" w:hAnsi="Tahoma" w:cs="Tahoma"/>
          <w:b/>
          <w:sz w:val="24"/>
          <w:szCs w:val="24"/>
        </w:rPr>
        <w:t>Employment Sectors in NI and NMD</w:t>
      </w:r>
      <w:r w:rsidR="00253DCE" w:rsidRPr="00504D8F">
        <w:rPr>
          <w:rFonts w:ascii="Tahoma" w:hAnsi="Tahoma" w:cs="Tahoma"/>
          <w:b/>
          <w:sz w:val="24"/>
          <w:szCs w:val="24"/>
        </w:rPr>
        <w:t xml:space="preserve"> in 2001 &amp; 2011</w:t>
      </w:r>
    </w:p>
    <w:p w:rsidR="00253DCE" w:rsidRDefault="00253DCE" w:rsidP="00550A4F">
      <w:pPr>
        <w:autoSpaceDE w:val="0"/>
        <w:autoSpaceDN w:val="0"/>
        <w:adjustRightInd w:val="0"/>
        <w:spacing w:after="0" w:line="240" w:lineRule="auto"/>
        <w:rPr>
          <w:rFonts w:ascii="Arial" w:hAnsi="Arial" w:cs="Arial"/>
          <w:sz w:val="24"/>
          <w:szCs w:val="24"/>
        </w:rPr>
      </w:pPr>
    </w:p>
    <w:p w:rsidR="00C04F03" w:rsidRDefault="00890896" w:rsidP="00550A4F">
      <w:pPr>
        <w:autoSpaceDE w:val="0"/>
        <w:autoSpaceDN w:val="0"/>
        <w:adjustRightInd w:val="0"/>
        <w:spacing w:after="0" w:line="240" w:lineRule="auto"/>
        <w:rPr>
          <w:rFonts w:ascii="Arial" w:hAnsi="Arial" w:cs="Arial"/>
          <w:noProof/>
          <w:sz w:val="24"/>
          <w:szCs w:val="24"/>
          <w:lang w:eastAsia="en-GB"/>
        </w:rPr>
      </w:pPr>
      <w:r>
        <w:rPr>
          <w:noProof/>
          <w:lang w:eastAsia="en-GB"/>
        </w:rPr>
        <w:drawing>
          <wp:inline distT="0" distB="0" distL="0" distR="0" wp14:anchorId="4B0E61F0" wp14:editId="24D99E2D">
            <wp:extent cx="5337810" cy="3108960"/>
            <wp:effectExtent l="0" t="0" r="1524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4F03" w:rsidRDefault="00C04F03" w:rsidP="00550A4F">
      <w:pPr>
        <w:autoSpaceDE w:val="0"/>
        <w:autoSpaceDN w:val="0"/>
        <w:adjustRightInd w:val="0"/>
        <w:spacing w:after="0" w:line="240" w:lineRule="auto"/>
        <w:rPr>
          <w:rFonts w:ascii="Arial" w:hAnsi="Arial" w:cs="Arial"/>
          <w:noProof/>
          <w:sz w:val="24"/>
          <w:szCs w:val="24"/>
          <w:lang w:eastAsia="en-GB"/>
        </w:rPr>
      </w:pPr>
    </w:p>
    <w:p w:rsidR="006562AD" w:rsidRPr="00504D8F" w:rsidRDefault="006562AD" w:rsidP="00813B81">
      <w:pPr>
        <w:autoSpaceDE w:val="0"/>
        <w:autoSpaceDN w:val="0"/>
        <w:adjustRightInd w:val="0"/>
        <w:spacing w:after="0" w:line="240" w:lineRule="auto"/>
        <w:rPr>
          <w:rFonts w:ascii="Tahoma" w:hAnsi="Tahoma" w:cs="Tahoma"/>
          <w:sz w:val="16"/>
          <w:szCs w:val="16"/>
        </w:rPr>
      </w:pPr>
      <w:r w:rsidRPr="00504D8F">
        <w:rPr>
          <w:rFonts w:ascii="Tahoma" w:hAnsi="Tahoma" w:cs="Tahoma"/>
          <w:sz w:val="16"/>
          <w:szCs w:val="16"/>
        </w:rPr>
        <w:t xml:space="preserve">Source: NISRA </w:t>
      </w:r>
      <w:r w:rsidR="00C13B4F" w:rsidRPr="00504D8F">
        <w:rPr>
          <w:rFonts w:ascii="Tahoma" w:hAnsi="Tahoma" w:cs="Tahoma"/>
          <w:sz w:val="16"/>
          <w:szCs w:val="16"/>
        </w:rPr>
        <w:t>Census 2001 &amp; 2011</w:t>
      </w:r>
    </w:p>
    <w:p w:rsidR="00813B81" w:rsidRPr="00504D8F" w:rsidRDefault="00C04F03" w:rsidP="00813B81">
      <w:pPr>
        <w:autoSpaceDE w:val="0"/>
        <w:autoSpaceDN w:val="0"/>
        <w:adjustRightInd w:val="0"/>
        <w:spacing w:after="0" w:line="240" w:lineRule="auto"/>
        <w:rPr>
          <w:rFonts w:ascii="Tahoma" w:hAnsi="Tahoma" w:cs="Tahoma"/>
          <w:sz w:val="16"/>
          <w:szCs w:val="16"/>
        </w:rPr>
      </w:pPr>
      <w:r w:rsidRPr="00504D8F">
        <w:rPr>
          <w:rFonts w:ascii="Tahoma" w:hAnsi="Tahoma" w:cs="Tahoma"/>
          <w:sz w:val="16"/>
          <w:szCs w:val="16"/>
        </w:rPr>
        <w:t>* NMD is a total of 2</w:t>
      </w:r>
      <w:r w:rsidR="00813B81" w:rsidRPr="00504D8F">
        <w:rPr>
          <w:rFonts w:ascii="Tahoma" w:hAnsi="Tahoma" w:cs="Tahoma"/>
          <w:sz w:val="16"/>
          <w:szCs w:val="16"/>
        </w:rPr>
        <w:t xml:space="preserve"> x </w:t>
      </w:r>
      <w:r w:rsidRPr="00504D8F">
        <w:rPr>
          <w:rFonts w:ascii="Tahoma" w:hAnsi="Tahoma" w:cs="Tahoma"/>
          <w:sz w:val="16"/>
          <w:szCs w:val="16"/>
        </w:rPr>
        <w:t xml:space="preserve">2001 &amp; </w:t>
      </w:r>
      <w:r w:rsidR="00813B81" w:rsidRPr="00504D8F">
        <w:rPr>
          <w:rFonts w:ascii="Tahoma" w:hAnsi="Tahoma" w:cs="Tahoma"/>
          <w:sz w:val="16"/>
          <w:szCs w:val="16"/>
        </w:rPr>
        <w:t>2011 LGD figures.</w:t>
      </w:r>
    </w:p>
    <w:p w:rsidR="00253DCE" w:rsidRDefault="00253DCE" w:rsidP="00550A4F">
      <w:pPr>
        <w:autoSpaceDE w:val="0"/>
        <w:autoSpaceDN w:val="0"/>
        <w:adjustRightInd w:val="0"/>
        <w:spacing w:after="0" w:line="240" w:lineRule="auto"/>
        <w:rPr>
          <w:rFonts w:ascii="Arial" w:hAnsi="Arial" w:cs="Arial"/>
          <w:sz w:val="24"/>
          <w:szCs w:val="24"/>
        </w:rPr>
      </w:pPr>
    </w:p>
    <w:p w:rsidR="00D331EF" w:rsidRDefault="00D331EF" w:rsidP="00550A4F">
      <w:pPr>
        <w:autoSpaceDE w:val="0"/>
        <w:autoSpaceDN w:val="0"/>
        <w:adjustRightInd w:val="0"/>
        <w:spacing w:after="0" w:line="240" w:lineRule="auto"/>
        <w:rPr>
          <w:rFonts w:ascii="Arial" w:hAnsi="Arial" w:cs="Arial"/>
          <w:sz w:val="24"/>
          <w:szCs w:val="24"/>
        </w:rPr>
      </w:pPr>
    </w:p>
    <w:p w:rsidR="00D331EF"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sz w:val="24"/>
          <w:szCs w:val="24"/>
        </w:rPr>
        <w:t>3.13</w:t>
      </w:r>
      <w:r w:rsidRPr="00504D8F">
        <w:rPr>
          <w:rFonts w:ascii="Tahoma" w:hAnsi="Tahoma" w:cs="Tahoma"/>
          <w:sz w:val="24"/>
          <w:szCs w:val="24"/>
        </w:rPr>
        <w:t xml:space="preserve"> </w:t>
      </w:r>
      <w:r w:rsidR="00866BF0">
        <w:rPr>
          <w:rFonts w:ascii="Tahoma" w:hAnsi="Tahoma" w:cs="Tahoma"/>
          <w:sz w:val="24"/>
          <w:szCs w:val="24"/>
        </w:rPr>
        <w:tab/>
      </w:r>
      <w:r w:rsidR="006562AD" w:rsidRPr="00504D8F">
        <w:rPr>
          <w:rFonts w:ascii="Tahoma" w:hAnsi="Tahoma" w:cs="Tahoma"/>
          <w:sz w:val="24"/>
          <w:szCs w:val="24"/>
        </w:rPr>
        <w:t xml:space="preserve">Overall, Newry and </w:t>
      </w:r>
      <w:proofErr w:type="spellStart"/>
      <w:r w:rsidR="00D331EF" w:rsidRPr="00504D8F">
        <w:rPr>
          <w:rFonts w:ascii="Tahoma" w:hAnsi="Tahoma" w:cs="Tahoma"/>
          <w:sz w:val="24"/>
          <w:szCs w:val="24"/>
        </w:rPr>
        <w:t>Mourne</w:t>
      </w:r>
      <w:proofErr w:type="spellEnd"/>
      <w:r w:rsidR="00D331EF" w:rsidRPr="00504D8F">
        <w:rPr>
          <w:rFonts w:ascii="Tahoma" w:hAnsi="Tahoma" w:cs="Tahoma"/>
          <w:sz w:val="24"/>
          <w:szCs w:val="24"/>
        </w:rPr>
        <w:t xml:space="preserve"> </w:t>
      </w:r>
      <w:proofErr w:type="gramStart"/>
      <w:r w:rsidR="006562AD" w:rsidRPr="00504D8F">
        <w:rPr>
          <w:rFonts w:ascii="Tahoma" w:hAnsi="Tahoma" w:cs="Tahoma"/>
          <w:sz w:val="24"/>
          <w:szCs w:val="24"/>
        </w:rPr>
        <w:t xml:space="preserve">District </w:t>
      </w:r>
      <w:r w:rsidR="00DA7E23" w:rsidRPr="00504D8F">
        <w:rPr>
          <w:rFonts w:ascii="Tahoma" w:hAnsi="Tahoma" w:cs="Tahoma"/>
          <w:sz w:val="24"/>
          <w:szCs w:val="24"/>
        </w:rPr>
        <w:t xml:space="preserve"> had</w:t>
      </w:r>
      <w:proofErr w:type="gramEnd"/>
      <w:r w:rsidR="00D331EF" w:rsidRPr="00504D8F">
        <w:rPr>
          <w:rFonts w:ascii="Tahoma" w:hAnsi="Tahoma" w:cs="Tahoma"/>
          <w:sz w:val="24"/>
          <w:szCs w:val="24"/>
        </w:rPr>
        <w:t xml:space="preserve"> a spread of jobs across the three sectors broadly in line with the whole region albeit with a higher proportion of jobs within the secondary sector. The spread across </w:t>
      </w:r>
      <w:proofErr w:type="gramStart"/>
      <w:r w:rsidR="00D331EF" w:rsidRPr="00504D8F">
        <w:rPr>
          <w:rFonts w:ascii="Tahoma" w:hAnsi="Tahoma" w:cs="Tahoma"/>
          <w:sz w:val="24"/>
          <w:szCs w:val="24"/>
        </w:rPr>
        <w:t>Down</w:t>
      </w:r>
      <w:proofErr w:type="gramEnd"/>
      <w:r w:rsidR="00D331EF" w:rsidRPr="00504D8F">
        <w:rPr>
          <w:rFonts w:ascii="Tahoma" w:hAnsi="Tahoma" w:cs="Tahoma"/>
          <w:sz w:val="24"/>
          <w:szCs w:val="24"/>
        </w:rPr>
        <w:t xml:space="preserve"> mirrors the NI figures for all three sectors.</w:t>
      </w:r>
    </w:p>
    <w:p w:rsidR="00D331EF" w:rsidRPr="00504D8F" w:rsidRDefault="00D331EF" w:rsidP="008E411D">
      <w:pPr>
        <w:autoSpaceDE w:val="0"/>
        <w:autoSpaceDN w:val="0"/>
        <w:adjustRightInd w:val="0"/>
        <w:spacing w:after="0" w:line="240" w:lineRule="auto"/>
        <w:jc w:val="both"/>
        <w:rPr>
          <w:rFonts w:ascii="Tahoma" w:hAnsi="Tahoma" w:cs="Tahoma"/>
          <w:sz w:val="24"/>
          <w:szCs w:val="24"/>
        </w:rPr>
      </w:pPr>
    </w:p>
    <w:p w:rsidR="00D331EF" w:rsidRPr="00504D8F" w:rsidRDefault="001B0BCA"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3.14</w:t>
      </w:r>
      <w:r w:rsidRPr="00504D8F">
        <w:rPr>
          <w:rFonts w:ascii="Tahoma" w:hAnsi="Tahoma" w:cs="Tahoma"/>
          <w:bCs/>
          <w:sz w:val="24"/>
          <w:szCs w:val="24"/>
        </w:rPr>
        <w:t xml:space="preserve"> </w:t>
      </w:r>
      <w:r w:rsidR="00866BF0">
        <w:rPr>
          <w:rFonts w:ascii="Tahoma" w:hAnsi="Tahoma" w:cs="Tahoma"/>
          <w:bCs/>
          <w:sz w:val="24"/>
          <w:szCs w:val="24"/>
        </w:rPr>
        <w:tab/>
      </w:r>
      <w:r w:rsidR="00D331EF" w:rsidRPr="00504D8F">
        <w:rPr>
          <w:rFonts w:ascii="Tahoma" w:hAnsi="Tahoma" w:cs="Tahoma"/>
          <w:bCs/>
          <w:sz w:val="24"/>
          <w:szCs w:val="24"/>
        </w:rPr>
        <w:t xml:space="preserve">Newry and </w:t>
      </w:r>
      <w:proofErr w:type="spellStart"/>
      <w:r w:rsidR="00D331EF" w:rsidRPr="00504D8F">
        <w:rPr>
          <w:rFonts w:ascii="Tahoma" w:hAnsi="Tahoma" w:cs="Tahoma"/>
          <w:bCs/>
          <w:sz w:val="24"/>
          <w:szCs w:val="24"/>
        </w:rPr>
        <w:t>Mourne</w:t>
      </w:r>
      <w:proofErr w:type="spellEnd"/>
      <w:r w:rsidR="00D331EF" w:rsidRPr="00504D8F">
        <w:rPr>
          <w:rFonts w:ascii="Tahoma" w:hAnsi="Tahoma" w:cs="Tahoma"/>
          <w:bCs/>
          <w:sz w:val="24"/>
          <w:szCs w:val="24"/>
        </w:rPr>
        <w:t xml:space="preserve"> District stands out as having a high </w:t>
      </w:r>
      <w:proofErr w:type="gramStart"/>
      <w:r w:rsidR="00D331EF" w:rsidRPr="00504D8F">
        <w:rPr>
          <w:rFonts w:ascii="Tahoma" w:hAnsi="Tahoma" w:cs="Tahoma"/>
          <w:bCs/>
          <w:sz w:val="24"/>
          <w:szCs w:val="24"/>
        </w:rPr>
        <w:t>percentage  of</w:t>
      </w:r>
      <w:proofErr w:type="gramEnd"/>
      <w:r w:rsidR="00D331EF" w:rsidRPr="00504D8F">
        <w:rPr>
          <w:rFonts w:ascii="Tahoma" w:hAnsi="Tahoma" w:cs="Tahoma"/>
          <w:bCs/>
          <w:sz w:val="24"/>
          <w:szCs w:val="24"/>
        </w:rPr>
        <w:t xml:space="preserve"> jobs in manufacturing (</w:t>
      </w:r>
      <w:r w:rsidR="000F2935" w:rsidRPr="00504D8F">
        <w:rPr>
          <w:rFonts w:ascii="Tahoma" w:hAnsi="Tahoma" w:cs="Tahoma"/>
          <w:bCs/>
          <w:sz w:val="24"/>
          <w:szCs w:val="24"/>
        </w:rPr>
        <w:t>15.43</w:t>
      </w:r>
      <w:r w:rsidR="00D331EF" w:rsidRPr="00504D8F">
        <w:rPr>
          <w:rFonts w:ascii="Tahoma" w:hAnsi="Tahoma" w:cs="Tahoma"/>
          <w:bCs/>
          <w:sz w:val="24"/>
          <w:szCs w:val="24"/>
        </w:rPr>
        <w:t xml:space="preserve">%) and construction </w:t>
      </w:r>
      <w:r w:rsidR="000F2935" w:rsidRPr="00504D8F">
        <w:rPr>
          <w:rFonts w:ascii="Tahoma" w:hAnsi="Tahoma" w:cs="Tahoma"/>
          <w:bCs/>
          <w:sz w:val="24"/>
          <w:szCs w:val="24"/>
        </w:rPr>
        <w:t>(6.23%)</w:t>
      </w:r>
      <w:r w:rsidR="00735479">
        <w:rPr>
          <w:rFonts w:ascii="Tahoma" w:hAnsi="Tahoma" w:cs="Tahoma"/>
          <w:bCs/>
          <w:sz w:val="24"/>
          <w:szCs w:val="24"/>
        </w:rPr>
        <w:t xml:space="preserve"> </w:t>
      </w:r>
      <w:r w:rsidR="00D331EF" w:rsidRPr="00504D8F">
        <w:rPr>
          <w:rFonts w:ascii="Tahoma" w:hAnsi="Tahoma" w:cs="Tahoma"/>
          <w:bCs/>
          <w:sz w:val="24"/>
          <w:szCs w:val="24"/>
        </w:rPr>
        <w:t>than the NI aver</w:t>
      </w:r>
      <w:r w:rsidR="000F2935" w:rsidRPr="00504D8F">
        <w:rPr>
          <w:rFonts w:ascii="Tahoma" w:hAnsi="Tahoma" w:cs="Tahoma"/>
          <w:bCs/>
          <w:sz w:val="24"/>
          <w:szCs w:val="24"/>
        </w:rPr>
        <w:t xml:space="preserve">age of 10.9% and 4.25% </w:t>
      </w:r>
      <w:r w:rsidR="00D331EF" w:rsidRPr="00504D8F">
        <w:rPr>
          <w:rFonts w:ascii="Tahoma" w:hAnsi="Tahoma" w:cs="Tahoma"/>
          <w:bCs/>
          <w:sz w:val="24"/>
          <w:szCs w:val="24"/>
        </w:rPr>
        <w:t xml:space="preserve"> respectively. This can be attributed to companies such as Glen Electric,</w:t>
      </w:r>
      <w:r w:rsidR="003F1B2C" w:rsidRPr="00504D8F">
        <w:rPr>
          <w:rFonts w:ascii="Tahoma" w:hAnsi="Tahoma" w:cs="Tahoma"/>
          <w:bCs/>
          <w:sz w:val="24"/>
          <w:szCs w:val="24"/>
        </w:rPr>
        <w:t xml:space="preserve"> SCA </w:t>
      </w:r>
      <w:proofErr w:type="gramStart"/>
      <w:r w:rsidR="003F1B2C" w:rsidRPr="00504D8F">
        <w:rPr>
          <w:rFonts w:ascii="Tahoma" w:hAnsi="Tahoma" w:cs="Tahoma"/>
          <w:bCs/>
          <w:sz w:val="24"/>
          <w:szCs w:val="24"/>
        </w:rPr>
        <w:t>Packaging</w:t>
      </w:r>
      <w:r w:rsidR="00D331EF" w:rsidRPr="00504D8F">
        <w:rPr>
          <w:rFonts w:ascii="Tahoma" w:hAnsi="Tahoma" w:cs="Tahoma"/>
          <w:bCs/>
          <w:sz w:val="24"/>
          <w:szCs w:val="24"/>
        </w:rPr>
        <w:t xml:space="preserve"> </w:t>
      </w:r>
      <w:r w:rsidR="004818AF" w:rsidRPr="00504D8F">
        <w:rPr>
          <w:rFonts w:ascii="Tahoma" w:hAnsi="Tahoma" w:cs="Tahoma"/>
          <w:bCs/>
          <w:sz w:val="24"/>
          <w:szCs w:val="24"/>
        </w:rPr>
        <w:t>,</w:t>
      </w:r>
      <w:proofErr w:type="gramEnd"/>
      <w:r w:rsidR="006F48FE" w:rsidRPr="00504D8F">
        <w:rPr>
          <w:rFonts w:ascii="Tahoma" w:hAnsi="Tahoma" w:cs="Tahoma"/>
          <w:bCs/>
          <w:sz w:val="24"/>
          <w:szCs w:val="24"/>
        </w:rPr>
        <w:t xml:space="preserve"> </w:t>
      </w:r>
      <w:r w:rsidR="004818AF" w:rsidRPr="00504D8F">
        <w:rPr>
          <w:rFonts w:ascii="Tahoma" w:hAnsi="Tahoma" w:cs="Tahoma"/>
          <w:bCs/>
          <w:sz w:val="24"/>
          <w:szCs w:val="24"/>
        </w:rPr>
        <w:t xml:space="preserve">MJM Marine, </w:t>
      </w:r>
      <w:r w:rsidR="003F1B2C" w:rsidRPr="00504D8F">
        <w:rPr>
          <w:rFonts w:ascii="Tahoma" w:hAnsi="Tahoma" w:cs="Tahoma"/>
          <w:bCs/>
          <w:sz w:val="24"/>
          <w:szCs w:val="24"/>
        </w:rPr>
        <w:t>FM Environmental</w:t>
      </w:r>
      <w:r w:rsidR="004818AF" w:rsidRPr="00504D8F">
        <w:rPr>
          <w:rFonts w:ascii="Tahoma" w:hAnsi="Tahoma" w:cs="Tahoma"/>
          <w:bCs/>
          <w:sz w:val="24"/>
          <w:szCs w:val="24"/>
        </w:rPr>
        <w:t xml:space="preserve"> and Haldane Fisher</w:t>
      </w:r>
      <w:r w:rsidR="003F1B2C" w:rsidRPr="00504D8F">
        <w:rPr>
          <w:rFonts w:ascii="Tahoma" w:hAnsi="Tahoma" w:cs="Tahoma"/>
          <w:bCs/>
          <w:sz w:val="24"/>
          <w:szCs w:val="24"/>
        </w:rPr>
        <w:t>.</w:t>
      </w:r>
      <w:r w:rsidR="00D331EF" w:rsidRPr="00504D8F">
        <w:rPr>
          <w:rFonts w:ascii="Tahoma" w:hAnsi="Tahoma" w:cs="Tahoma"/>
          <w:bCs/>
          <w:sz w:val="24"/>
          <w:szCs w:val="24"/>
        </w:rPr>
        <w:t xml:space="preserve"> Down District has lower proportions of jobs in manufacturing and construction than Newry and </w:t>
      </w:r>
      <w:proofErr w:type="spellStart"/>
      <w:r w:rsidR="00D331EF" w:rsidRPr="00504D8F">
        <w:rPr>
          <w:rFonts w:ascii="Tahoma" w:hAnsi="Tahoma" w:cs="Tahoma"/>
          <w:bCs/>
          <w:sz w:val="24"/>
          <w:szCs w:val="24"/>
        </w:rPr>
        <w:t>Mourne</w:t>
      </w:r>
      <w:proofErr w:type="spellEnd"/>
      <w:r w:rsidR="00D331EF" w:rsidRPr="00504D8F">
        <w:rPr>
          <w:rFonts w:ascii="Tahoma" w:hAnsi="Tahoma" w:cs="Tahoma"/>
          <w:bCs/>
          <w:sz w:val="24"/>
          <w:szCs w:val="24"/>
        </w:rPr>
        <w:t xml:space="preserve"> but has the highest level o</w:t>
      </w:r>
      <w:r w:rsidR="007429CA" w:rsidRPr="00504D8F">
        <w:rPr>
          <w:rFonts w:ascii="Tahoma" w:hAnsi="Tahoma" w:cs="Tahoma"/>
          <w:bCs/>
          <w:sz w:val="24"/>
          <w:szCs w:val="24"/>
        </w:rPr>
        <w:t xml:space="preserve">f services at 87.31% compared to Newry and </w:t>
      </w:r>
      <w:proofErr w:type="spellStart"/>
      <w:r w:rsidR="007429CA" w:rsidRPr="00504D8F">
        <w:rPr>
          <w:rFonts w:ascii="Tahoma" w:hAnsi="Tahoma" w:cs="Tahoma"/>
          <w:bCs/>
          <w:sz w:val="24"/>
          <w:szCs w:val="24"/>
        </w:rPr>
        <w:t>Mou</w:t>
      </w:r>
      <w:r w:rsidR="006F48FE" w:rsidRPr="00504D8F">
        <w:rPr>
          <w:rFonts w:ascii="Tahoma" w:hAnsi="Tahoma" w:cs="Tahoma"/>
          <w:bCs/>
          <w:sz w:val="24"/>
          <w:szCs w:val="24"/>
        </w:rPr>
        <w:t>r</w:t>
      </w:r>
      <w:r w:rsidR="007429CA" w:rsidRPr="00504D8F">
        <w:rPr>
          <w:rFonts w:ascii="Tahoma" w:hAnsi="Tahoma" w:cs="Tahoma"/>
          <w:bCs/>
          <w:sz w:val="24"/>
          <w:szCs w:val="24"/>
        </w:rPr>
        <w:t>ne</w:t>
      </w:r>
      <w:proofErr w:type="spellEnd"/>
      <w:r w:rsidR="00D331EF" w:rsidRPr="00504D8F">
        <w:rPr>
          <w:rFonts w:ascii="Tahoma" w:hAnsi="Tahoma" w:cs="Tahoma"/>
          <w:bCs/>
          <w:sz w:val="24"/>
          <w:szCs w:val="24"/>
        </w:rPr>
        <w:t xml:space="preserve"> District at </w:t>
      </w:r>
      <w:r w:rsidR="007429CA" w:rsidRPr="00504D8F">
        <w:rPr>
          <w:rFonts w:ascii="Tahoma" w:hAnsi="Tahoma" w:cs="Tahoma"/>
          <w:bCs/>
          <w:sz w:val="24"/>
          <w:szCs w:val="24"/>
        </w:rPr>
        <w:t>75.71</w:t>
      </w:r>
      <w:r w:rsidR="00D331EF" w:rsidRPr="00504D8F">
        <w:rPr>
          <w:rFonts w:ascii="Tahoma" w:hAnsi="Tahoma" w:cs="Tahoma"/>
          <w:bCs/>
          <w:sz w:val="24"/>
          <w:szCs w:val="24"/>
        </w:rPr>
        <w:t xml:space="preserve">%. </w:t>
      </w:r>
    </w:p>
    <w:p w:rsidR="00D331EF" w:rsidRPr="00504D8F" w:rsidRDefault="00D331EF" w:rsidP="008E411D">
      <w:pPr>
        <w:autoSpaceDE w:val="0"/>
        <w:autoSpaceDN w:val="0"/>
        <w:adjustRightInd w:val="0"/>
        <w:spacing w:after="0" w:line="240" w:lineRule="auto"/>
        <w:jc w:val="both"/>
        <w:rPr>
          <w:rFonts w:ascii="Tahoma" w:hAnsi="Tahoma" w:cs="Tahoma"/>
          <w:bCs/>
          <w:sz w:val="24"/>
          <w:szCs w:val="24"/>
        </w:rPr>
      </w:pPr>
    </w:p>
    <w:p w:rsidR="00D331EF" w:rsidRPr="00504D8F" w:rsidRDefault="001B0BCA" w:rsidP="008E411D">
      <w:pPr>
        <w:autoSpaceDE w:val="0"/>
        <w:autoSpaceDN w:val="0"/>
        <w:adjustRightInd w:val="0"/>
        <w:spacing w:after="0" w:line="240" w:lineRule="auto"/>
        <w:jc w:val="both"/>
        <w:rPr>
          <w:rFonts w:ascii="Tahoma" w:hAnsi="Tahoma" w:cs="Tahoma"/>
          <w:bCs/>
          <w:sz w:val="24"/>
          <w:szCs w:val="24"/>
        </w:rPr>
      </w:pPr>
      <w:r w:rsidRPr="00504D8F">
        <w:rPr>
          <w:rFonts w:ascii="Tahoma" w:hAnsi="Tahoma" w:cs="Tahoma"/>
          <w:b/>
          <w:bCs/>
          <w:sz w:val="24"/>
          <w:szCs w:val="24"/>
        </w:rPr>
        <w:t>3.15</w:t>
      </w:r>
      <w:r w:rsidRPr="00504D8F">
        <w:rPr>
          <w:rFonts w:ascii="Tahoma" w:hAnsi="Tahoma" w:cs="Tahoma"/>
          <w:bCs/>
          <w:sz w:val="24"/>
          <w:szCs w:val="24"/>
        </w:rPr>
        <w:t xml:space="preserve"> </w:t>
      </w:r>
      <w:r w:rsidR="00866BF0">
        <w:rPr>
          <w:rFonts w:ascii="Tahoma" w:hAnsi="Tahoma" w:cs="Tahoma"/>
          <w:bCs/>
          <w:sz w:val="24"/>
          <w:szCs w:val="24"/>
        </w:rPr>
        <w:tab/>
      </w:r>
      <w:r w:rsidR="00D331EF" w:rsidRPr="00504D8F">
        <w:rPr>
          <w:rFonts w:ascii="Tahoma" w:hAnsi="Tahoma" w:cs="Tahoma"/>
          <w:bCs/>
          <w:sz w:val="24"/>
          <w:szCs w:val="24"/>
        </w:rPr>
        <w:t xml:space="preserve">The </w:t>
      </w:r>
      <w:r w:rsidR="00E35C85" w:rsidRPr="00504D8F">
        <w:rPr>
          <w:rFonts w:ascii="Tahoma" w:hAnsi="Tahoma" w:cs="Tahoma"/>
          <w:bCs/>
          <w:sz w:val="24"/>
          <w:szCs w:val="24"/>
        </w:rPr>
        <w:t>r</w:t>
      </w:r>
      <w:r w:rsidR="00D331EF" w:rsidRPr="00504D8F">
        <w:rPr>
          <w:rFonts w:ascii="Tahoma" w:hAnsi="Tahoma" w:cs="Tahoma"/>
          <w:bCs/>
          <w:sz w:val="24"/>
          <w:szCs w:val="24"/>
        </w:rPr>
        <w:t>ecent growth in Northern Ireland in office type industries, such as information technology and financial services, points to a need for a more flexible approach when determining the types of economic development that are acceptable in particular locations and that land zoned for economic development should be seen as supporting a whole range of uses - apart from retailing – and not just the traditional manufacturing sector.</w:t>
      </w:r>
    </w:p>
    <w:p w:rsidR="00D331EF" w:rsidRPr="00504D8F" w:rsidRDefault="00D331EF" w:rsidP="00ED29DD">
      <w:pPr>
        <w:autoSpaceDE w:val="0"/>
        <w:autoSpaceDN w:val="0"/>
        <w:adjustRightInd w:val="0"/>
        <w:spacing w:after="0" w:line="240" w:lineRule="auto"/>
        <w:rPr>
          <w:rFonts w:ascii="Tahoma" w:hAnsi="Tahoma" w:cs="Tahoma"/>
          <w:b/>
          <w:bCs/>
          <w:sz w:val="24"/>
          <w:szCs w:val="24"/>
        </w:rPr>
      </w:pPr>
    </w:p>
    <w:p w:rsidR="00550A4F" w:rsidRPr="00504D8F" w:rsidRDefault="00550A4F"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3.</w:t>
      </w:r>
      <w:r w:rsidR="001B0BCA" w:rsidRPr="00504D8F">
        <w:rPr>
          <w:rFonts w:ascii="Tahoma" w:hAnsi="Tahoma" w:cs="Tahoma"/>
          <w:b/>
          <w:bCs/>
          <w:sz w:val="24"/>
          <w:szCs w:val="24"/>
        </w:rPr>
        <w:t>1</w:t>
      </w:r>
      <w:r w:rsidRPr="00504D8F">
        <w:rPr>
          <w:rFonts w:ascii="Tahoma" w:hAnsi="Tahoma" w:cs="Tahoma"/>
          <w:b/>
          <w:bCs/>
          <w:sz w:val="24"/>
          <w:szCs w:val="24"/>
        </w:rPr>
        <w:t xml:space="preserve">6 </w:t>
      </w:r>
      <w:r w:rsidR="00866BF0">
        <w:rPr>
          <w:rFonts w:ascii="Tahoma" w:hAnsi="Tahoma" w:cs="Tahoma"/>
          <w:b/>
          <w:bCs/>
          <w:sz w:val="24"/>
          <w:szCs w:val="24"/>
        </w:rPr>
        <w:tab/>
      </w:r>
      <w:r w:rsidR="006F48FE" w:rsidRPr="00504D8F">
        <w:rPr>
          <w:rFonts w:ascii="Tahoma" w:hAnsi="Tahoma" w:cs="Tahoma"/>
          <w:sz w:val="24"/>
          <w:szCs w:val="24"/>
        </w:rPr>
        <w:t xml:space="preserve">Key industries in </w:t>
      </w:r>
      <w:r w:rsidR="006E5EA7" w:rsidRPr="00504D8F">
        <w:rPr>
          <w:rFonts w:ascii="Tahoma" w:hAnsi="Tahoma" w:cs="Tahoma"/>
          <w:sz w:val="24"/>
          <w:szCs w:val="24"/>
        </w:rPr>
        <w:t>Newry</w:t>
      </w:r>
      <w:r w:rsidRPr="00504D8F">
        <w:rPr>
          <w:rFonts w:ascii="Tahoma" w:hAnsi="Tahoma" w:cs="Tahoma"/>
          <w:sz w:val="24"/>
          <w:szCs w:val="24"/>
        </w:rPr>
        <w:t xml:space="preserve"> </w:t>
      </w:r>
      <w:r w:rsidR="000E7A50" w:rsidRPr="00504D8F">
        <w:rPr>
          <w:rFonts w:ascii="Tahoma" w:hAnsi="Tahoma" w:cs="Tahoma"/>
          <w:sz w:val="24"/>
          <w:szCs w:val="24"/>
        </w:rPr>
        <w:t xml:space="preserve">now </w:t>
      </w:r>
      <w:r w:rsidRPr="00504D8F">
        <w:rPr>
          <w:rFonts w:ascii="Tahoma" w:hAnsi="Tahoma" w:cs="Tahoma"/>
          <w:sz w:val="24"/>
          <w:szCs w:val="24"/>
        </w:rPr>
        <w:t xml:space="preserve">include the manufacture of </w:t>
      </w:r>
      <w:r w:rsidR="000E7A50" w:rsidRPr="00504D8F">
        <w:rPr>
          <w:rFonts w:ascii="Tahoma" w:hAnsi="Tahoma" w:cs="Tahoma"/>
          <w:sz w:val="24"/>
          <w:szCs w:val="24"/>
        </w:rPr>
        <w:t>pharmaceuticals (</w:t>
      </w:r>
      <w:proofErr w:type="spellStart"/>
      <w:r w:rsidR="000E7A50" w:rsidRPr="00504D8F">
        <w:rPr>
          <w:rFonts w:ascii="Tahoma" w:hAnsi="Tahoma" w:cs="Tahoma"/>
          <w:sz w:val="24"/>
          <w:szCs w:val="24"/>
        </w:rPr>
        <w:t>Norbrook</w:t>
      </w:r>
      <w:proofErr w:type="spellEnd"/>
      <w:proofErr w:type="gramStart"/>
      <w:r w:rsidR="000E7A50" w:rsidRPr="00504D8F">
        <w:rPr>
          <w:rFonts w:ascii="Tahoma" w:hAnsi="Tahoma" w:cs="Tahoma"/>
          <w:sz w:val="24"/>
          <w:szCs w:val="24"/>
        </w:rPr>
        <w:t xml:space="preserve">) </w:t>
      </w:r>
      <w:r w:rsidR="005D5F81" w:rsidRPr="00504D8F">
        <w:rPr>
          <w:rFonts w:ascii="Tahoma" w:hAnsi="Tahoma" w:cs="Tahoma"/>
          <w:sz w:val="24"/>
          <w:szCs w:val="24"/>
        </w:rPr>
        <w:t>,</w:t>
      </w:r>
      <w:proofErr w:type="gramEnd"/>
      <w:r w:rsidR="005D5F81" w:rsidRPr="00504D8F">
        <w:rPr>
          <w:rFonts w:ascii="Tahoma" w:hAnsi="Tahoma" w:cs="Tahoma"/>
          <w:sz w:val="24"/>
          <w:szCs w:val="24"/>
        </w:rPr>
        <w:t xml:space="preserve"> IT infrastructure</w:t>
      </w:r>
      <w:r w:rsidR="000E7A50" w:rsidRPr="00504D8F">
        <w:rPr>
          <w:rFonts w:ascii="Tahoma" w:hAnsi="Tahoma" w:cs="Tahoma"/>
          <w:sz w:val="24"/>
          <w:szCs w:val="24"/>
        </w:rPr>
        <w:t xml:space="preserve"> (</w:t>
      </w:r>
      <w:r w:rsidR="00D74A59" w:rsidRPr="00504D8F">
        <w:rPr>
          <w:rFonts w:ascii="Tahoma" w:hAnsi="Tahoma" w:cs="Tahoma"/>
          <w:sz w:val="24"/>
          <w:szCs w:val="24"/>
        </w:rPr>
        <w:t>First Derivatives)</w:t>
      </w:r>
      <w:r w:rsidR="005D5F81" w:rsidRPr="00504D8F">
        <w:rPr>
          <w:rFonts w:ascii="Tahoma" w:hAnsi="Tahoma" w:cs="Tahoma"/>
          <w:sz w:val="24"/>
          <w:szCs w:val="24"/>
        </w:rPr>
        <w:t>, and household and commercial electrical appliances</w:t>
      </w:r>
      <w:r w:rsidR="000E7A50" w:rsidRPr="00504D8F">
        <w:rPr>
          <w:rFonts w:ascii="Tahoma" w:hAnsi="Tahoma" w:cs="Tahoma"/>
          <w:sz w:val="24"/>
          <w:szCs w:val="24"/>
        </w:rPr>
        <w:t xml:space="preserve"> (Glen Electric)</w:t>
      </w:r>
      <w:r w:rsidR="005D5F81" w:rsidRPr="00504D8F">
        <w:rPr>
          <w:rFonts w:ascii="Tahoma" w:hAnsi="Tahoma" w:cs="Tahoma"/>
          <w:sz w:val="24"/>
          <w:szCs w:val="24"/>
        </w:rPr>
        <w:t>.</w:t>
      </w:r>
      <w:r w:rsidR="00857171" w:rsidRPr="00504D8F">
        <w:rPr>
          <w:rFonts w:ascii="Tahoma" w:hAnsi="Tahoma" w:cs="Tahoma"/>
          <w:sz w:val="24"/>
          <w:szCs w:val="24"/>
        </w:rPr>
        <w:t xml:space="preserve"> </w:t>
      </w:r>
      <w:r w:rsidR="007A429B" w:rsidRPr="00504D8F">
        <w:rPr>
          <w:rFonts w:ascii="Tahoma" w:hAnsi="Tahoma" w:cs="Tahoma"/>
          <w:sz w:val="24"/>
          <w:szCs w:val="24"/>
        </w:rPr>
        <w:t>C</w:t>
      </w:r>
      <w:r w:rsidR="000E7A50" w:rsidRPr="00504D8F">
        <w:rPr>
          <w:rFonts w:ascii="Tahoma" w:hAnsi="Tahoma" w:cs="Tahoma"/>
          <w:sz w:val="24"/>
          <w:szCs w:val="24"/>
        </w:rPr>
        <w:t>all centre employment (</w:t>
      </w:r>
      <w:proofErr w:type="spellStart"/>
      <w:r w:rsidR="000E7A50" w:rsidRPr="00504D8F">
        <w:rPr>
          <w:rFonts w:ascii="Tahoma" w:hAnsi="Tahoma" w:cs="Tahoma"/>
          <w:sz w:val="24"/>
          <w:szCs w:val="24"/>
        </w:rPr>
        <w:t>Teleperformance</w:t>
      </w:r>
      <w:proofErr w:type="spellEnd"/>
      <w:r w:rsidR="000E7A50" w:rsidRPr="00504D8F">
        <w:rPr>
          <w:rFonts w:ascii="Tahoma" w:hAnsi="Tahoma" w:cs="Tahoma"/>
          <w:sz w:val="24"/>
          <w:szCs w:val="24"/>
        </w:rPr>
        <w:t>) is als</w:t>
      </w:r>
      <w:r w:rsidR="00D74A59" w:rsidRPr="00504D8F">
        <w:rPr>
          <w:rFonts w:ascii="Tahoma" w:hAnsi="Tahoma" w:cs="Tahoma"/>
          <w:sz w:val="24"/>
          <w:szCs w:val="24"/>
        </w:rPr>
        <w:t xml:space="preserve">o a significant contributor to the </w:t>
      </w:r>
      <w:r w:rsidR="000E7A50" w:rsidRPr="00504D8F">
        <w:rPr>
          <w:rFonts w:ascii="Tahoma" w:hAnsi="Tahoma" w:cs="Tahoma"/>
          <w:sz w:val="24"/>
          <w:szCs w:val="24"/>
        </w:rPr>
        <w:t xml:space="preserve">Newry </w:t>
      </w:r>
      <w:r w:rsidR="00D74A59" w:rsidRPr="00504D8F">
        <w:rPr>
          <w:rFonts w:ascii="Tahoma" w:hAnsi="Tahoma" w:cs="Tahoma"/>
          <w:sz w:val="24"/>
          <w:szCs w:val="24"/>
        </w:rPr>
        <w:t>economy</w:t>
      </w:r>
      <w:r w:rsidR="000E7A50" w:rsidRPr="00504D8F">
        <w:rPr>
          <w:rFonts w:ascii="Tahoma" w:hAnsi="Tahoma" w:cs="Tahoma"/>
          <w:sz w:val="24"/>
          <w:szCs w:val="24"/>
        </w:rPr>
        <w:t xml:space="preserve">. Aircraft seating manufacturing </w:t>
      </w:r>
      <w:r w:rsidR="00857171" w:rsidRPr="00504D8F">
        <w:rPr>
          <w:rFonts w:ascii="Tahoma" w:hAnsi="Tahoma" w:cs="Tahoma"/>
          <w:sz w:val="24"/>
          <w:szCs w:val="24"/>
        </w:rPr>
        <w:lastRenderedPageBreak/>
        <w:t xml:space="preserve">in </w:t>
      </w:r>
      <w:proofErr w:type="spellStart"/>
      <w:r w:rsidR="00857171" w:rsidRPr="00504D8F">
        <w:rPr>
          <w:rFonts w:ascii="Tahoma" w:hAnsi="Tahoma" w:cs="Tahoma"/>
          <w:sz w:val="24"/>
          <w:szCs w:val="24"/>
        </w:rPr>
        <w:t>Kilkeel</w:t>
      </w:r>
      <w:proofErr w:type="spellEnd"/>
      <w:r w:rsidR="00857171" w:rsidRPr="00504D8F">
        <w:rPr>
          <w:rFonts w:ascii="Tahoma" w:hAnsi="Tahoma" w:cs="Tahoma"/>
          <w:sz w:val="24"/>
          <w:szCs w:val="24"/>
        </w:rPr>
        <w:t xml:space="preserve"> </w:t>
      </w:r>
      <w:r w:rsidR="004818AF" w:rsidRPr="00504D8F">
        <w:rPr>
          <w:rFonts w:ascii="Tahoma" w:hAnsi="Tahoma" w:cs="Tahoma"/>
          <w:sz w:val="24"/>
          <w:szCs w:val="24"/>
        </w:rPr>
        <w:t>(B</w:t>
      </w:r>
      <w:r w:rsidR="00D74A59" w:rsidRPr="00504D8F">
        <w:rPr>
          <w:rFonts w:ascii="Tahoma" w:hAnsi="Tahoma" w:cs="Tahoma"/>
          <w:sz w:val="24"/>
          <w:szCs w:val="24"/>
        </w:rPr>
        <w:t xml:space="preserve">E Aerospace) has seen growth in recent years and has helped to sustain employment in an area traditionally reliant on the fishing industry. </w:t>
      </w:r>
      <w:r w:rsidR="007A429B" w:rsidRPr="00504D8F">
        <w:rPr>
          <w:rFonts w:ascii="Tahoma" w:hAnsi="Tahoma" w:cs="Tahoma"/>
          <w:sz w:val="24"/>
          <w:szCs w:val="24"/>
        </w:rPr>
        <w:t>The Tourism industry</w:t>
      </w:r>
      <w:r w:rsidR="00ED29DD" w:rsidRPr="00504D8F">
        <w:rPr>
          <w:rFonts w:ascii="Tahoma" w:hAnsi="Tahoma" w:cs="Tahoma"/>
          <w:sz w:val="24"/>
          <w:szCs w:val="24"/>
        </w:rPr>
        <w:t xml:space="preserve"> also contributes t</w:t>
      </w:r>
      <w:r w:rsidR="006E5EA7" w:rsidRPr="00504D8F">
        <w:rPr>
          <w:rFonts w:ascii="Tahoma" w:hAnsi="Tahoma" w:cs="Tahoma"/>
          <w:sz w:val="24"/>
          <w:szCs w:val="24"/>
        </w:rPr>
        <w:t xml:space="preserve">o the local economy in </w:t>
      </w:r>
      <w:r w:rsidR="00602EAA" w:rsidRPr="00504D8F">
        <w:rPr>
          <w:rFonts w:ascii="Tahoma" w:hAnsi="Tahoma" w:cs="Tahoma"/>
          <w:sz w:val="24"/>
          <w:szCs w:val="24"/>
        </w:rPr>
        <w:t xml:space="preserve">Newry, </w:t>
      </w:r>
      <w:proofErr w:type="spellStart"/>
      <w:r w:rsidR="006E5EA7" w:rsidRPr="00504D8F">
        <w:rPr>
          <w:rFonts w:ascii="Tahoma" w:hAnsi="Tahoma" w:cs="Tahoma"/>
          <w:sz w:val="24"/>
          <w:szCs w:val="24"/>
        </w:rPr>
        <w:t>Mourne</w:t>
      </w:r>
      <w:proofErr w:type="spellEnd"/>
      <w:r w:rsidR="00602EAA" w:rsidRPr="00504D8F">
        <w:rPr>
          <w:rFonts w:ascii="Tahoma" w:hAnsi="Tahoma" w:cs="Tahoma"/>
          <w:color w:val="FF0000"/>
          <w:sz w:val="24"/>
          <w:szCs w:val="24"/>
        </w:rPr>
        <w:t xml:space="preserve"> </w:t>
      </w:r>
      <w:r w:rsidR="00602EAA" w:rsidRPr="00504D8F">
        <w:rPr>
          <w:rFonts w:ascii="Tahoma" w:hAnsi="Tahoma" w:cs="Tahoma"/>
          <w:sz w:val="24"/>
          <w:szCs w:val="24"/>
        </w:rPr>
        <w:t xml:space="preserve">and </w:t>
      </w:r>
      <w:proofErr w:type="gramStart"/>
      <w:r w:rsidR="00602EAA" w:rsidRPr="00504D8F">
        <w:rPr>
          <w:rFonts w:ascii="Tahoma" w:hAnsi="Tahoma" w:cs="Tahoma"/>
          <w:sz w:val="24"/>
          <w:szCs w:val="24"/>
        </w:rPr>
        <w:t>Down</w:t>
      </w:r>
      <w:proofErr w:type="gramEnd"/>
      <w:r w:rsidR="00602EAA" w:rsidRPr="00504D8F">
        <w:rPr>
          <w:rFonts w:ascii="Tahoma" w:hAnsi="Tahoma" w:cs="Tahoma"/>
          <w:sz w:val="24"/>
          <w:szCs w:val="24"/>
        </w:rPr>
        <w:t xml:space="preserve"> </w:t>
      </w:r>
      <w:r w:rsidR="002F4436" w:rsidRPr="00504D8F">
        <w:rPr>
          <w:rFonts w:ascii="Tahoma" w:hAnsi="Tahoma" w:cs="Tahoma"/>
          <w:sz w:val="24"/>
          <w:szCs w:val="24"/>
        </w:rPr>
        <w:t>supporting 4,780 jobs across the District in 2013</w:t>
      </w:r>
      <w:r w:rsidR="002F4436" w:rsidRPr="00504D8F">
        <w:rPr>
          <w:rStyle w:val="FootnoteReference"/>
          <w:rFonts w:ascii="Tahoma" w:hAnsi="Tahoma" w:cs="Tahoma"/>
          <w:sz w:val="24"/>
          <w:szCs w:val="24"/>
        </w:rPr>
        <w:footnoteReference w:id="9"/>
      </w:r>
      <w:r w:rsidR="002F4436" w:rsidRPr="00504D8F">
        <w:rPr>
          <w:rFonts w:ascii="Tahoma" w:hAnsi="Tahoma" w:cs="Tahoma"/>
          <w:sz w:val="24"/>
          <w:szCs w:val="24"/>
        </w:rPr>
        <w:t>. Recently published tourism figures indicates that the District attracted</w:t>
      </w:r>
      <w:r w:rsidR="00410763" w:rsidRPr="00504D8F">
        <w:rPr>
          <w:rFonts w:ascii="Tahoma" w:hAnsi="Tahoma" w:cs="Tahoma"/>
          <w:sz w:val="24"/>
          <w:szCs w:val="24"/>
        </w:rPr>
        <w:t xml:space="preserve"> 571,000</w:t>
      </w:r>
      <w:r w:rsidR="00286145" w:rsidRPr="00504D8F">
        <w:rPr>
          <w:rFonts w:ascii="Tahoma" w:hAnsi="Tahoma" w:cs="Tahoma"/>
          <w:sz w:val="24"/>
          <w:szCs w:val="24"/>
        </w:rPr>
        <w:t xml:space="preserve"> </w:t>
      </w:r>
      <w:r w:rsidR="00ED29DD" w:rsidRPr="00504D8F">
        <w:rPr>
          <w:rFonts w:ascii="Tahoma" w:hAnsi="Tahoma" w:cs="Tahoma"/>
          <w:sz w:val="24"/>
          <w:szCs w:val="24"/>
        </w:rPr>
        <w:t xml:space="preserve"> overnight visitor</w:t>
      </w:r>
      <w:r w:rsidR="003A207B" w:rsidRPr="00504D8F">
        <w:rPr>
          <w:rFonts w:ascii="Tahoma" w:hAnsi="Tahoma" w:cs="Tahoma"/>
          <w:sz w:val="24"/>
          <w:szCs w:val="24"/>
        </w:rPr>
        <w:t>s in 201</w:t>
      </w:r>
      <w:r w:rsidR="00410763" w:rsidRPr="00504D8F">
        <w:rPr>
          <w:rFonts w:ascii="Tahoma" w:hAnsi="Tahoma" w:cs="Tahoma"/>
          <w:sz w:val="24"/>
          <w:szCs w:val="24"/>
        </w:rPr>
        <w:t>4</w:t>
      </w:r>
      <w:r w:rsidR="006E5EA7" w:rsidRPr="00504D8F">
        <w:rPr>
          <w:rFonts w:ascii="Tahoma" w:hAnsi="Tahoma" w:cs="Tahoma"/>
          <w:sz w:val="24"/>
          <w:szCs w:val="24"/>
        </w:rPr>
        <w:t xml:space="preserve"> with an </w:t>
      </w:r>
      <w:r w:rsidR="00410763" w:rsidRPr="00504D8F">
        <w:rPr>
          <w:rFonts w:ascii="Tahoma" w:hAnsi="Tahoma" w:cs="Tahoma"/>
          <w:sz w:val="24"/>
          <w:szCs w:val="24"/>
        </w:rPr>
        <w:t>estimated spend of £54</w:t>
      </w:r>
      <w:r w:rsidR="00ED29DD" w:rsidRPr="00504D8F">
        <w:rPr>
          <w:rFonts w:ascii="Tahoma" w:hAnsi="Tahoma" w:cs="Tahoma"/>
          <w:sz w:val="24"/>
          <w:szCs w:val="24"/>
        </w:rPr>
        <w:t xml:space="preserve"> million</w:t>
      </w:r>
      <w:r w:rsidR="00602EAA" w:rsidRPr="00504D8F">
        <w:rPr>
          <w:rStyle w:val="FootnoteReference"/>
          <w:rFonts w:ascii="Tahoma" w:hAnsi="Tahoma" w:cs="Tahoma"/>
          <w:sz w:val="24"/>
          <w:szCs w:val="24"/>
        </w:rPr>
        <w:footnoteReference w:id="10"/>
      </w:r>
      <w:r w:rsidR="009F20ED" w:rsidRPr="00504D8F">
        <w:rPr>
          <w:rFonts w:ascii="Tahoma" w:hAnsi="Tahoma" w:cs="Tahoma"/>
          <w:sz w:val="24"/>
          <w:szCs w:val="24"/>
        </w:rPr>
        <w:t xml:space="preserve"> </w:t>
      </w:r>
      <w:r w:rsidR="00602EAA" w:rsidRPr="00504D8F">
        <w:rPr>
          <w:rFonts w:ascii="Tahoma" w:hAnsi="Tahoma" w:cs="Tahoma"/>
          <w:sz w:val="24"/>
          <w:szCs w:val="24"/>
        </w:rPr>
        <w:t xml:space="preserve">Newry, </w:t>
      </w:r>
      <w:proofErr w:type="spellStart"/>
      <w:r w:rsidR="00602EAA" w:rsidRPr="00504D8F">
        <w:rPr>
          <w:rFonts w:ascii="Tahoma" w:hAnsi="Tahoma" w:cs="Tahoma"/>
          <w:sz w:val="24"/>
          <w:szCs w:val="24"/>
        </w:rPr>
        <w:t>Mourne</w:t>
      </w:r>
      <w:proofErr w:type="spellEnd"/>
      <w:r w:rsidR="00602EAA" w:rsidRPr="00504D8F">
        <w:rPr>
          <w:rFonts w:ascii="Tahoma" w:hAnsi="Tahoma" w:cs="Tahoma"/>
          <w:sz w:val="24"/>
          <w:szCs w:val="24"/>
        </w:rPr>
        <w:t xml:space="preserve"> and Down attracts the </w:t>
      </w:r>
      <w:r w:rsidR="00410763" w:rsidRPr="00504D8F">
        <w:rPr>
          <w:rFonts w:ascii="Tahoma" w:hAnsi="Tahoma" w:cs="Tahoma"/>
          <w:sz w:val="24"/>
          <w:szCs w:val="24"/>
        </w:rPr>
        <w:t xml:space="preserve">third highest number of </w:t>
      </w:r>
      <w:r w:rsidR="00602EAA" w:rsidRPr="00504D8F">
        <w:rPr>
          <w:rFonts w:ascii="Tahoma" w:hAnsi="Tahoma" w:cs="Tahoma"/>
          <w:sz w:val="24"/>
          <w:szCs w:val="24"/>
        </w:rPr>
        <w:t>overnight trips</w:t>
      </w:r>
      <w:r w:rsidR="00410763" w:rsidRPr="00504D8F">
        <w:rPr>
          <w:rFonts w:ascii="Tahoma" w:hAnsi="Tahoma" w:cs="Tahoma"/>
          <w:sz w:val="24"/>
          <w:szCs w:val="24"/>
        </w:rPr>
        <w:t xml:space="preserve">, after Belfast </w:t>
      </w:r>
      <w:r w:rsidR="007256BF" w:rsidRPr="00504D8F">
        <w:rPr>
          <w:rFonts w:ascii="Tahoma" w:hAnsi="Tahoma" w:cs="Tahoma"/>
          <w:sz w:val="24"/>
          <w:szCs w:val="24"/>
        </w:rPr>
        <w:t>and Causeway Coast</w:t>
      </w:r>
      <w:r w:rsidR="002F4436" w:rsidRPr="00504D8F">
        <w:rPr>
          <w:rFonts w:ascii="Tahoma" w:hAnsi="Tahoma" w:cs="Tahoma"/>
          <w:sz w:val="24"/>
          <w:szCs w:val="24"/>
        </w:rPr>
        <w:t>,</w:t>
      </w:r>
      <w:r w:rsidR="007E536E" w:rsidRPr="00504D8F">
        <w:rPr>
          <w:rFonts w:ascii="Tahoma" w:hAnsi="Tahoma" w:cs="Tahoma"/>
          <w:sz w:val="24"/>
          <w:szCs w:val="24"/>
        </w:rPr>
        <w:t xml:space="preserve">  </w:t>
      </w:r>
      <w:r w:rsidR="007256BF" w:rsidRPr="00504D8F">
        <w:rPr>
          <w:rFonts w:ascii="Tahoma" w:hAnsi="Tahoma" w:cs="Tahoma"/>
          <w:sz w:val="24"/>
          <w:szCs w:val="24"/>
        </w:rPr>
        <w:t xml:space="preserve"> </w:t>
      </w:r>
      <w:r w:rsidR="00602EAA" w:rsidRPr="00504D8F">
        <w:rPr>
          <w:rFonts w:ascii="Tahoma" w:hAnsi="Tahoma" w:cs="Tahoma"/>
          <w:sz w:val="24"/>
          <w:szCs w:val="24"/>
        </w:rPr>
        <w:t xml:space="preserve">of all </w:t>
      </w:r>
      <w:r w:rsidR="00762E85" w:rsidRPr="00504D8F">
        <w:rPr>
          <w:rFonts w:ascii="Tahoma" w:hAnsi="Tahoma" w:cs="Tahoma"/>
          <w:sz w:val="24"/>
          <w:szCs w:val="24"/>
        </w:rPr>
        <w:t xml:space="preserve">the </w:t>
      </w:r>
      <w:r w:rsidR="00602EAA" w:rsidRPr="00504D8F">
        <w:rPr>
          <w:rFonts w:ascii="Tahoma" w:hAnsi="Tahoma" w:cs="Tahoma"/>
          <w:sz w:val="24"/>
          <w:szCs w:val="24"/>
        </w:rPr>
        <w:t>NI local government districts</w:t>
      </w:r>
      <w:r w:rsidR="00410763" w:rsidRPr="00504D8F">
        <w:rPr>
          <w:rFonts w:ascii="Tahoma" w:hAnsi="Tahoma" w:cs="Tahoma"/>
          <w:sz w:val="24"/>
          <w:szCs w:val="24"/>
        </w:rPr>
        <w:t>.</w:t>
      </w:r>
      <w:r w:rsidR="00602EAA" w:rsidRPr="00504D8F">
        <w:rPr>
          <w:rFonts w:ascii="Tahoma" w:hAnsi="Tahoma" w:cs="Tahoma"/>
          <w:sz w:val="24"/>
          <w:szCs w:val="24"/>
        </w:rPr>
        <w:t xml:space="preserve"> </w:t>
      </w:r>
    </w:p>
    <w:p w:rsidR="006F3621" w:rsidRDefault="006F3621" w:rsidP="00ED29DD">
      <w:pPr>
        <w:autoSpaceDE w:val="0"/>
        <w:autoSpaceDN w:val="0"/>
        <w:adjustRightInd w:val="0"/>
        <w:spacing w:after="0" w:line="240" w:lineRule="auto"/>
        <w:rPr>
          <w:rFonts w:ascii="Arial" w:hAnsi="Arial" w:cs="Arial"/>
          <w:sz w:val="24"/>
          <w:szCs w:val="24"/>
        </w:rPr>
      </w:pPr>
    </w:p>
    <w:p w:rsidR="005A0E7C" w:rsidRPr="00504D8F" w:rsidRDefault="005A0E7C" w:rsidP="005A0E7C">
      <w:pPr>
        <w:autoSpaceDE w:val="0"/>
        <w:autoSpaceDN w:val="0"/>
        <w:adjustRightInd w:val="0"/>
        <w:spacing w:after="0" w:line="240" w:lineRule="auto"/>
        <w:rPr>
          <w:rFonts w:ascii="Tahoma" w:hAnsi="Tahoma" w:cs="Tahoma"/>
          <w:b/>
          <w:bCs/>
          <w:sz w:val="24"/>
          <w:szCs w:val="24"/>
        </w:rPr>
      </w:pPr>
      <w:r w:rsidRPr="00504D8F">
        <w:rPr>
          <w:rFonts w:ascii="Tahoma" w:hAnsi="Tahoma" w:cs="Tahoma"/>
          <w:b/>
          <w:bCs/>
          <w:sz w:val="24"/>
          <w:szCs w:val="24"/>
        </w:rPr>
        <w:t>Business Stock</w:t>
      </w:r>
    </w:p>
    <w:p w:rsidR="001D259A" w:rsidRPr="00504D8F" w:rsidRDefault="001D259A" w:rsidP="005A0E7C">
      <w:pPr>
        <w:autoSpaceDE w:val="0"/>
        <w:autoSpaceDN w:val="0"/>
        <w:adjustRightInd w:val="0"/>
        <w:spacing w:after="0" w:line="240" w:lineRule="auto"/>
        <w:rPr>
          <w:rFonts w:ascii="Tahoma" w:hAnsi="Tahoma" w:cs="Tahoma"/>
          <w:b/>
          <w:bCs/>
          <w:sz w:val="24"/>
          <w:szCs w:val="24"/>
        </w:rPr>
      </w:pPr>
    </w:p>
    <w:p w:rsidR="00537B6E" w:rsidRPr="00504D8F" w:rsidRDefault="001B0BCA" w:rsidP="008E411D">
      <w:pPr>
        <w:autoSpaceDE w:val="0"/>
        <w:autoSpaceDN w:val="0"/>
        <w:adjustRightInd w:val="0"/>
        <w:spacing w:after="0" w:line="240" w:lineRule="auto"/>
        <w:jc w:val="both"/>
        <w:rPr>
          <w:rFonts w:ascii="Tahoma" w:hAnsi="Tahoma" w:cs="Tahoma"/>
          <w:sz w:val="24"/>
          <w:szCs w:val="24"/>
        </w:rPr>
      </w:pPr>
      <w:r w:rsidRPr="00504D8F">
        <w:rPr>
          <w:rFonts w:ascii="Tahoma" w:hAnsi="Tahoma" w:cs="Tahoma"/>
          <w:b/>
          <w:bCs/>
          <w:sz w:val="24"/>
          <w:szCs w:val="24"/>
        </w:rPr>
        <w:t>3.17</w:t>
      </w:r>
      <w:r w:rsidR="005A0E7C" w:rsidRPr="00504D8F">
        <w:rPr>
          <w:rFonts w:ascii="Tahoma" w:hAnsi="Tahoma" w:cs="Tahoma"/>
          <w:b/>
          <w:bCs/>
          <w:sz w:val="24"/>
          <w:szCs w:val="24"/>
        </w:rPr>
        <w:t xml:space="preserve"> </w:t>
      </w:r>
      <w:r w:rsidR="00866BF0">
        <w:rPr>
          <w:rFonts w:ascii="Tahoma" w:hAnsi="Tahoma" w:cs="Tahoma"/>
          <w:b/>
          <w:bCs/>
          <w:sz w:val="24"/>
          <w:szCs w:val="24"/>
        </w:rPr>
        <w:tab/>
      </w:r>
      <w:r w:rsidR="005A0E7C" w:rsidRPr="00504D8F">
        <w:rPr>
          <w:rFonts w:ascii="Tahoma" w:hAnsi="Tahoma" w:cs="Tahoma"/>
          <w:sz w:val="24"/>
          <w:szCs w:val="24"/>
        </w:rPr>
        <w:t>In terms of business</w:t>
      </w:r>
      <w:r w:rsidR="00C43A0D" w:rsidRPr="00504D8F">
        <w:rPr>
          <w:rFonts w:ascii="Tahoma" w:hAnsi="Tahoma" w:cs="Tahoma"/>
          <w:sz w:val="24"/>
          <w:szCs w:val="24"/>
        </w:rPr>
        <w:t xml:space="preserve"> stock, as of 2014 there were 7,500</w:t>
      </w:r>
      <w:r w:rsidR="005A0E7C" w:rsidRPr="00504D8F">
        <w:rPr>
          <w:rFonts w:ascii="Tahoma" w:hAnsi="Tahoma" w:cs="Tahoma"/>
          <w:sz w:val="24"/>
          <w:szCs w:val="24"/>
        </w:rPr>
        <w:t xml:space="preserve"> active VAT/PAYE</w:t>
      </w:r>
      <w:r w:rsidR="00435847">
        <w:rPr>
          <w:rFonts w:ascii="Tahoma" w:hAnsi="Tahoma" w:cs="Tahoma"/>
          <w:sz w:val="24"/>
          <w:szCs w:val="24"/>
        </w:rPr>
        <w:t xml:space="preserve"> </w:t>
      </w:r>
      <w:r w:rsidR="005A0E7C" w:rsidRPr="00504D8F">
        <w:rPr>
          <w:rFonts w:ascii="Tahoma" w:hAnsi="Tahoma" w:cs="Tahoma"/>
          <w:sz w:val="24"/>
          <w:szCs w:val="24"/>
        </w:rPr>
        <w:t xml:space="preserve">registered businesses in the </w:t>
      </w:r>
      <w:r w:rsidR="00C43A0D" w:rsidRPr="00504D8F">
        <w:rPr>
          <w:rFonts w:ascii="Tahoma" w:hAnsi="Tahoma" w:cs="Tahoma"/>
          <w:sz w:val="24"/>
          <w:szCs w:val="24"/>
        </w:rPr>
        <w:t>Newry</w:t>
      </w:r>
      <w:r w:rsidR="007F620C" w:rsidRPr="00504D8F">
        <w:rPr>
          <w:rFonts w:ascii="Tahoma" w:hAnsi="Tahoma" w:cs="Tahoma"/>
          <w:sz w:val="24"/>
          <w:szCs w:val="24"/>
        </w:rPr>
        <w:t xml:space="preserve">, </w:t>
      </w:r>
      <w:proofErr w:type="spellStart"/>
      <w:r w:rsidR="007F620C" w:rsidRPr="00504D8F">
        <w:rPr>
          <w:rFonts w:ascii="Tahoma" w:hAnsi="Tahoma" w:cs="Tahoma"/>
          <w:sz w:val="24"/>
          <w:szCs w:val="24"/>
        </w:rPr>
        <w:t>Mourne</w:t>
      </w:r>
      <w:proofErr w:type="spellEnd"/>
      <w:r w:rsidR="007F620C" w:rsidRPr="00504D8F">
        <w:rPr>
          <w:rFonts w:ascii="Tahoma" w:hAnsi="Tahoma" w:cs="Tahoma"/>
          <w:sz w:val="24"/>
          <w:szCs w:val="24"/>
        </w:rPr>
        <w:t xml:space="preserve"> and </w:t>
      </w:r>
      <w:proofErr w:type="gramStart"/>
      <w:r w:rsidR="007F620C" w:rsidRPr="00504D8F">
        <w:rPr>
          <w:rFonts w:ascii="Tahoma" w:hAnsi="Tahoma" w:cs="Tahoma"/>
          <w:sz w:val="24"/>
          <w:szCs w:val="24"/>
        </w:rPr>
        <w:t>Down</w:t>
      </w:r>
      <w:proofErr w:type="gramEnd"/>
      <w:r w:rsidR="00E379B9" w:rsidRPr="00504D8F">
        <w:rPr>
          <w:rFonts w:ascii="Tahoma" w:hAnsi="Tahoma" w:cs="Tahoma"/>
          <w:sz w:val="24"/>
          <w:szCs w:val="24"/>
        </w:rPr>
        <w:t xml:space="preserve"> c</w:t>
      </w:r>
      <w:r w:rsidR="005A0E7C" w:rsidRPr="00504D8F">
        <w:rPr>
          <w:rFonts w:ascii="Tahoma" w:hAnsi="Tahoma" w:cs="Tahoma"/>
          <w:sz w:val="24"/>
          <w:szCs w:val="24"/>
        </w:rPr>
        <w:t>ouncil area (1</w:t>
      </w:r>
      <w:r w:rsidR="005239CF" w:rsidRPr="00504D8F">
        <w:rPr>
          <w:rFonts w:ascii="Tahoma" w:hAnsi="Tahoma" w:cs="Tahoma"/>
          <w:sz w:val="24"/>
          <w:szCs w:val="24"/>
        </w:rPr>
        <w:t>1.07</w:t>
      </w:r>
      <w:r w:rsidR="005A0E7C" w:rsidRPr="00504D8F">
        <w:rPr>
          <w:rFonts w:ascii="Tahoma" w:hAnsi="Tahoma" w:cs="Tahoma"/>
          <w:sz w:val="24"/>
          <w:szCs w:val="24"/>
        </w:rPr>
        <w:t>% of the</w:t>
      </w:r>
      <w:r w:rsidR="00E379B9" w:rsidRPr="00504D8F">
        <w:rPr>
          <w:rFonts w:ascii="Tahoma" w:hAnsi="Tahoma" w:cs="Tahoma"/>
          <w:sz w:val="24"/>
          <w:szCs w:val="24"/>
        </w:rPr>
        <w:t xml:space="preserve"> </w:t>
      </w:r>
      <w:r w:rsidR="005A0E7C" w:rsidRPr="00504D8F">
        <w:rPr>
          <w:rFonts w:ascii="Tahoma" w:hAnsi="Tahoma" w:cs="Tahoma"/>
          <w:sz w:val="24"/>
          <w:szCs w:val="24"/>
        </w:rPr>
        <w:t>Northern Ireland total</w:t>
      </w:r>
      <w:r w:rsidR="005239CF" w:rsidRPr="00504D8F">
        <w:rPr>
          <w:rFonts w:ascii="Tahoma" w:hAnsi="Tahoma" w:cs="Tahoma"/>
          <w:sz w:val="24"/>
          <w:szCs w:val="24"/>
        </w:rPr>
        <w:t xml:space="preserve"> of 67,710</w:t>
      </w:r>
      <w:r w:rsidR="005A0E7C" w:rsidRPr="00504D8F">
        <w:rPr>
          <w:rFonts w:ascii="Tahoma" w:hAnsi="Tahoma" w:cs="Tahoma"/>
          <w:sz w:val="24"/>
          <w:szCs w:val="24"/>
        </w:rPr>
        <w:t xml:space="preserve">). Of this number, </w:t>
      </w:r>
      <w:r w:rsidR="00A83179" w:rsidRPr="00504D8F">
        <w:rPr>
          <w:rFonts w:ascii="Tahoma" w:hAnsi="Tahoma" w:cs="Tahoma"/>
          <w:sz w:val="24"/>
          <w:szCs w:val="24"/>
        </w:rPr>
        <w:t>27</w:t>
      </w:r>
      <w:r w:rsidR="00C363E0" w:rsidRPr="00504D8F">
        <w:rPr>
          <w:rFonts w:ascii="Tahoma" w:hAnsi="Tahoma" w:cs="Tahoma"/>
          <w:sz w:val="24"/>
          <w:szCs w:val="24"/>
        </w:rPr>
        <w:t>%</w:t>
      </w:r>
      <w:r w:rsidR="005A0E7C" w:rsidRPr="00504D8F">
        <w:rPr>
          <w:rFonts w:ascii="Tahoma" w:hAnsi="Tahoma" w:cs="Tahoma"/>
          <w:sz w:val="24"/>
          <w:szCs w:val="24"/>
        </w:rPr>
        <w:t xml:space="preserve"> are in the agricultural, forestry</w:t>
      </w:r>
      <w:r w:rsidR="00504D8F">
        <w:rPr>
          <w:rFonts w:ascii="Tahoma" w:hAnsi="Tahoma" w:cs="Tahoma"/>
          <w:sz w:val="24"/>
          <w:szCs w:val="24"/>
        </w:rPr>
        <w:t xml:space="preserve"> </w:t>
      </w:r>
      <w:r w:rsidR="005A0E7C" w:rsidRPr="00504D8F">
        <w:rPr>
          <w:rFonts w:ascii="Tahoma" w:hAnsi="Tahoma" w:cs="Tahoma"/>
          <w:sz w:val="24"/>
          <w:szCs w:val="24"/>
        </w:rPr>
        <w:t xml:space="preserve">and fishing sectors, the </w:t>
      </w:r>
      <w:r w:rsidR="007F3F81" w:rsidRPr="00504D8F">
        <w:rPr>
          <w:rFonts w:ascii="Tahoma" w:hAnsi="Tahoma" w:cs="Tahoma"/>
          <w:sz w:val="24"/>
          <w:szCs w:val="24"/>
        </w:rPr>
        <w:t>6</w:t>
      </w:r>
      <w:r w:rsidR="00C363E0" w:rsidRPr="00504D8F">
        <w:rPr>
          <w:rFonts w:ascii="Tahoma" w:hAnsi="Tahoma" w:cs="Tahoma"/>
          <w:sz w:val="24"/>
          <w:szCs w:val="24"/>
          <w:vertAlign w:val="superscript"/>
        </w:rPr>
        <w:t>th</w:t>
      </w:r>
      <w:r w:rsidR="00C363E0" w:rsidRPr="00504D8F">
        <w:rPr>
          <w:rFonts w:ascii="Tahoma" w:hAnsi="Tahoma" w:cs="Tahoma"/>
          <w:sz w:val="24"/>
          <w:szCs w:val="24"/>
        </w:rPr>
        <w:t xml:space="preserve"> </w:t>
      </w:r>
      <w:r w:rsidR="005A0E7C" w:rsidRPr="00504D8F">
        <w:rPr>
          <w:rFonts w:ascii="Tahoma" w:hAnsi="Tahoma" w:cs="Tahoma"/>
          <w:sz w:val="24"/>
          <w:szCs w:val="24"/>
        </w:rPr>
        <w:t>highest proportion of the 11 new council areas and</w:t>
      </w:r>
      <w:r w:rsidR="00923433" w:rsidRPr="00504D8F">
        <w:rPr>
          <w:rFonts w:ascii="Tahoma" w:hAnsi="Tahoma" w:cs="Tahoma"/>
          <w:sz w:val="24"/>
          <w:szCs w:val="24"/>
        </w:rPr>
        <w:t xml:space="preserve"> </w:t>
      </w:r>
      <w:r w:rsidR="00C363E0" w:rsidRPr="00504D8F">
        <w:rPr>
          <w:rFonts w:ascii="Tahoma" w:hAnsi="Tahoma" w:cs="Tahoma"/>
          <w:sz w:val="24"/>
          <w:szCs w:val="24"/>
        </w:rPr>
        <w:t xml:space="preserve">above </w:t>
      </w:r>
      <w:r w:rsidR="005A0E7C" w:rsidRPr="00504D8F">
        <w:rPr>
          <w:rFonts w:ascii="Tahoma" w:hAnsi="Tahoma" w:cs="Tahoma"/>
          <w:sz w:val="24"/>
          <w:szCs w:val="24"/>
        </w:rPr>
        <w:t xml:space="preserve">the regional average of 25% (DETI). This is reflective of the </w:t>
      </w:r>
      <w:r w:rsidR="00C363E0" w:rsidRPr="00504D8F">
        <w:rPr>
          <w:rFonts w:ascii="Tahoma" w:hAnsi="Tahoma" w:cs="Tahoma"/>
          <w:sz w:val="24"/>
          <w:szCs w:val="24"/>
        </w:rPr>
        <w:t xml:space="preserve">large </w:t>
      </w:r>
      <w:r w:rsidR="005A0E7C" w:rsidRPr="00504D8F">
        <w:rPr>
          <w:rFonts w:ascii="Tahoma" w:hAnsi="Tahoma" w:cs="Tahoma"/>
          <w:sz w:val="24"/>
          <w:szCs w:val="24"/>
        </w:rPr>
        <w:t>rural</w:t>
      </w:r>
      <w:r w:rsidR="00923433" w:rsidRPr="00504D8F">
        <w:rPr>
          <w:rFonts w:ascii="Tahoma" w:hAnsi="Tahoma" w:cs="Tahoma"/>
          <w:sz w:val="24"/>
          <w:szCs w:val="24"/>
        </w:rPr>
        <w:t xml:space="preserve"> </w:t>
      </w:r>
      <w:r w:rsidR="00C363E0" w:rsidRPr="00504D8F">
        <w:rPr>
          <w:rFonts w:ascii="Tahoma" w:hAnsi="Tahoma" w:cs="Tahoma"/>
          <w:sz w:val="24"/>
          <w:szCs w:val="24"/>
        </w:rPr>
        <w:t>areas within</w:t>
      </w:r>
      <w:r w:rsidR="005A0E7C" w:rsidRPr="00504D8F">
        <w:rPr>
          <w:rFonts w:ascii="Tahoma" w:hAnsi="Tahoma" w:cs="Tahoma"/>
          <w:sz w:val="24"/>
          <w:szCs w:val="24"/>
        </w:rPr>
        <w:t xml:space="preserve"> the new council area. When the production, construction</w:t>
      </w:r>
      <w:r w:rsidR="00923433" w:rsidRPr="00504D8F">
        <w:rPr>
          <w:rFonts w:ascii="Tahoma" w:hAnsi="Tahoma" w:cs="Tahoma"/>
          <w:sz w:val="24"/>
          <w:szCs w:val="24"/>
        </w:rPr>
        <w:t xml:space="preserve"> </w:t>
      </w:r>
      <w:r w:rsidR="005A0E7C" w:rsidRPr="00504D8F">
        <w:rPr>
          <w:rFonts w:ascii="Tahoma" w:hAnsi="Tahoma" w:cs="Tahoma"/>
          <w:sz w:val="24"/>
          <w:szCs w:val="24"/>
        </w:rPr>
        <w:t xml:space="preserve">and wholesale &amp; retail sectors are included, the </w:t>
      </w:r>
      <w:r w:rsidR="00023B51" w:rsidRPr="00504D8F">
        <w:rPr>
          <w:rFonts w:ascii="Tahoma" w:hAnsi="Tahoma" w:cs="Tahoma"/>
          <w:sz w:val="24"/>
          <w:szCs w:val="24"/>
        </w:rPr>
        <w:t xml:space="preserve">total </w:t>
      </w:r>
      <w:r w:rsidR="005A0E7C" w:rsidRPr="00504D8F">
        <w:rPr>
          <w:rFonts w:ascii="Tahoma" w:hAnsi="Tahoma" w:cs="Tahoma"/>
          <w:sz w:val="24"/>
          <w:szCs w:val="24"/>
        </w:rPr>
        <w:t>percentage is</w:t>
      </w:r>
      <w:r w:rsidR="00023B51" w:rsidRPr="00504D8F">
        <w:rPr>
          <w:rFonts w:ascii="Tahoma" w:hAnsi="Tahoma" w:cs="Tahoma"/>
          <w:sz w:val="24"/>
          <w:szCs w:val="24"/>
        </w:rPr>
        <w:t xml:space="preserve"> over</w:t>
      </w:r>
      <w:r w:rsidR="005A0E7C" w:rsidRPr="00504D8F">
        <w:rPr>
          <w:rFonts w:ascii="Tahoma" w:hAnsi="Tahoma" w:cs="Tahoma"/>
          <w:sz w:val="24"/>
          <w:szCs w:val="24"/>
        </w:rPr>
        <w:t xml:space="preserve"> </w:t>
      </w:r>
      <w:r w:rsidR="00023B51" w:rsidRPr="00504D8F">
        <w:rPr>
          <w:rFonts w:ascii="Tahoma" w:hAnsi="Tahoma" w:cs="Tahoma"/>
          <w:sz w:val="24"/>
          <w:szCs w:val="24"/>
        </w:rPr>
        <w:t>6</w:t>
      </w:r>
      <w:r w:rsidR="005A0E7C" w:rsidRPr="00504D8F">
        <w:rPr>
          <w:rFonts w:ascii="Tahoma" w:hAnsi="Tahoma" w:cs="Tahoma"/>
          <w:sz w:val="24"/>
          <w:szCs w:val="24"/>
        </w:rPr>
        <w:t>4%.</w:t>
      </w:r>
      <w:r w:rsidR="00923433" w:rsidRPr="00504D8F">
        <w:rPr>
          <w:rFonts w:ascii="Tahoma" w:hAnsi="Tahoma" w:cs="Tahoma"/>
          <w:sz w:val="24"/>
          <w:szCs w:val="24"/>
        </w:rPr>
        <w:t xml:space="preserve"> </w:t>
      </w:r>
      <w:r w:rsidR="005A0E7C" w:rsidRPr="00504D8F">
        <w:rPr>
          <w:rFonts w:ascii="Tahoma" w:hAnsi="Tahoma" w:cs="Tahoma"/>
          <w:sz w:val="24"/>
          <w:szCs w:val="24"/>
        </w:rPr>
        <w:t>The majority of businesses are classified as being micro, employing less than</w:t>
      </w:r>
      <w:r w:rsidR="00923433" w:rsidRPr="00504D8F">
        <w:rPr>
          <w:rFonts w:ascii="Tahoma" w:hAnsi="Tahoma" w:cs="Tahoma"/>
          <w:sz w:val="24"/>
          <w:szCs w:val="24"/>
        </w:rPr>
        <w:t xml:space="preserve"> </w:t>
      </w:r>
      <w:r w:rsidR="005A0E7C" w:rsidRPr="00504D8F">
        <w:rPr>
          <w:rFonts w:ascii="Tahoma" w:hAnsi="Tahoma" w:cs="Tahoma"/>
          <w:sz w:val="24"/>
          <w:szCs w:val="24"/>
        </w:rPr>
        <w:t>5 people (</w:t>
      </w:r>
      <w:r w:rsidR="00023B51" w:rsidRPr="00504D8F">
        <w:rPr>
          <w:rFonts w:ascii="Tahoma" w:hAnsi="Tahoma" w:cs="Tahoma"/>
          <w:sz w:val="24"/>
          <w:szCs w:val="24"/>
        </w:rPr>
        <w:t>7</w:t>
      </w:r>
      <w:r w:rsidR="00263DFC" w:rsidRPr="00504D8F">
        <w:rPr>
          <w:rFonts w:ascii="Tahoma" w:hAnsi="Tahoma" w:cs="Tahoma"/>
          <w:sz w:val="24"/>
          <w:szCs w:val="24"/>
        </w:rPr>
        <w:t>9</w:t>
      </w:r>
      <w:r w:rsidR="005A0E7C" w:rsidRPr="00504D8F">
        <w:rPr>
          <w:rFonts w:ascii="Tahoma" w:hAnsi="Tahoma" w:cs="Tahoma"/>
          <w:sz w:val="24"/>
          <w:szCs w:val="24"/>
        </w:rPr>
        <w:t>%) compared to the regional average 75.6%. This illustrates</w:t>
      </w:r>
      <w:r w:rsidR="00923433" w:rsidRPr="00504D8F">
        <w:rPr>
          <w:rFonts w:ascii="Tahoma" w:hAnsi="Tahoma" w:cs="Tahoma"/>
          <w:sz w:val="24"/>
          <w:szCs w:val="24"/>
        </w:rPr>
        <w:t xml:space="preserve"> </w:t>
      </w:r>
      <w:r w:rsidR="005A0E7C" w:rsidRPr="00504D8F">
        <w:rPr>
          <w:rFonts w:ascii="Tahoma" w:hAnsi="Tahoma" w:cs="Tahoma"/>
          <w:sz w:val="24"/>
          <w:szCs w:val="24"/>
        </w:rPr>
        <w:t>the importance of small businesses and the self-employed in the local economy. However</w:t>
      </w:r>
      <w:r w:rsidR="00263DFC" w:rsidRPr="00504D8F">
        <w:rPr>
          <w:rFonts w:ascii="Tahoma" w:hAnsi="Tahoma" w:cs="Tahoma"/>
          <w:sz w:val="24"/>
          <w:szCs w:val="24"/>
        </w:rPr>
        <w:t xml:space="preserve"> within Newry, </w:t>
      </w:r>
      <w:proofErr w:type="spellStart"/>
      <w:r w:rsidR="00263DFC" w:rsidRPr="00504D8F">
        <w:rPr>
          <w:rFonts w:ascii="Tahoma" w:hAnsi="Tahoma" w:cs="Tahoma"/>
          <w:sz w:val="24"/>
          <w:szCs w:val="24"/>
        </w:rPr>
        <w:t>Mourne</w:t>
      </w:r>
      <w:proofErr w:type="spellEnd"/>
      <w:r w:rsidR="00263DFC" w:rsidRPr="00504D8F">
        <w:rPr>
          <w:rFonts w:ascii="Tahoma" w:hAnsi="Tahoma" w:cs="Tahoma"/>
          <w:sz w:val="24"/>
          <w:szCs w:val="24"/>
        </w:rPr>
        <w:t xml:space="preserve"> and Down</w:t>
      </w:r>
      <w:r w:rsidR="008B7D1E" w:rsidRPr="00504D8F">
        <w:rPr>
          <w:rFonts w:ascii="Tahoma" w:hAnsi="Tahoma" w:cs="Tahoma"/>
          <w:sz w:val="24"/>
          <w:szCs w:val="24"/>
        </w:rPr>
        <w:t xml:space="preserve">, </w:t>
      </w:r>
      <w:r w:rsidR="005A0E7C" w:rsidRPr="00504D8F">
        <w:rPr>
          <w:rFonts w:ascii="Tahoma" w:hAnsi="Tahoma" w:cs="Tahoma"/>
          <w:sz w:val="24"/>
          <w:szCs w:val="24"/>
        </w:rPr>
        <w:t>there is a low</w:t>
      </w:r>
      <w:r w:rsidR="008B7D1E" w:rsidRPr="00504D8F">
        <w:rPr>
          <w:rFonts w:ascii="Tahoma" w:hAnsi="Tahoma" w:cs="Tahoma"/>
          <w:sz w:val="24"/>
          <w:szCs w:val="24"/>
        </w:rPr>
        <w:t>er</w:t>
      </w:r>
      <w:r w:rsidR="005A0E7C" w:rsidRPr="00504D8F">
        <w:rPr>
          <w:rFonts w:ascii="Tahoma" w:hAnsi="Tahoma" w:cs="Tahoma"/>
          <w:sz w:val="24"/>
          <w:szCs w:val="24"/>
        </w:rPr>
        <w:t xml:space="preserve"> incidence of registrations in the service</w:t>
      </w:r>
      <w:r w:rsidR="008B7D1E" w:rsidRPr="00504D8F">
        <w:rPr>
          <w:rFonts w:ascii="Tahoma" w:hAnsi="Tahoma" w:cs="Tahoma"/>
          <w:sz w:val="24"/>
          <w:szCs w:val="24"/>
        </w:rPr>
        <w:t xml:space="preserve"> (tertiary)</w:t>
      </w:r>
      <w:r w:rsidR="005A0E7C" w:rsidRPr="00504D8F">
        <w:rPr>
          <w:rFonts w:ascii="Tahoma" w:hAnsi="Tahoma" w:cs="Tahoma"/>
          <w:sz w:val="24"/>
          <w:szCs w:val="24"/>
        </w:rPr>
        <w:t xml:space="preserve"> sector such as finance and </w:t>
      </w:r>
      <w:r w:rsidR="00923433" w:rsidRPr="00504D8F">
        <w:rPr>
          <w:rFonts w:ascii="Tahoma" w:hAnsi="Tahoma" w:cs="Tahoma"/>
          <w:sz w:val="24"/>
          <w:szCs w:val="24"/>
        </w:rPr>
        <w:t>i</w:t>
      </w:r>
      <w:r w:rsidR="005A0E7C" w:rsidRPr="00504D8F">
        <w:rPr>
          <w:rFonts w:ascii="Tahoma" w:hAnsi="Tahoma" w:cs="Tahoma"/>
          <w:sz w:val="24"/>
          <w:szCs w:val="24"/>
        </w:rPr>
        <w:t>nsurance,</w:t>
      </w:r>
      <w:r w:rsidR="008B7D1E" w:rsidRPr="00504D8F">
        <w:rPr>
          <w:rFonts w:ascii="Tahoma" w:hAnsi="Tahoma" w:cs="Tahoma"/>
          <w:sz w:val="24"/>
          <w:szCs w:val="24"/>
        </w:rPr>
        <w:t xml:space="preserve"> professional </w:t>
      </w:r>
      <w:r w:rsidR="00DA7E23" w:rsidRPr="00504D8F">
        <w:rPr>
          <w:rFonts w:ascii="Tahoma" w:hAnsi="Tahoma" w:cs="Tahoma"/>
          <w:sz w:val="24"/>
          <w:szCs w:val="24"/>
        </w:rPr>
        <w:t xml:space="preserve"> and</w:t>
      </w:r>
      <w:r w:rsidR="008B7D1E" w:rsidRPr="00504D8F">
        <w:rPr>
          <w:rFonts w:ascii="Tahoma" w:hAnsi="Tahoma" w:cs="Tahoma"/>
          <w:sz w:val="24"/>
          <w:szCs w:val="24"/>
        </w:rPr>
        <w:t xml:space="preserve"> scientific</w:t>
      </w:r>
      <w:r w:rsidR="00DA7E23" w:rsidRPr="00504D8F">
        <w:rPr>
          <w:rFonts w:ascii="Tahoma" w:hAnsi="Tahoma" w:cs="Tahoma"/>
          <w:sz w:val="24"/>
          <w:szCs w:val="24"/>
        </w:rPr>
        <w:t>,</w:t>
      </w:r>
      <w:r w:rsidR="008B7D1E" w:rsidRPr="00504D8F">
        <w:rPr>
          <w:rFonts w:ascii="Tahoma" w:hAnsi="Tahoma" w:cs="Tahoma"/>
          <w:sz w:val="24"/>
          <w:szCs w:val="24"/>
        </w:rPr>
        <w:t xml:space="preserve"> </w:t>
      </w:r>
      <w:r w:rsidR="005A0E7C" w:rsidRPr="00504D8F">
        <w:rPr>
          <w:rFonts w:ascii="Tahoma" w:hAnsi="Tahoma" w:cs="Tahoma"/>
          <w:sz w:val="24"/>
          <w:szCs w:val="24"/>
        </w:rPr>
        <w:t>and ICT</w:t>
      </w:r>
      <w:r w:rsidR="008B7D1E" w:rsidRPr="00504D8F">
        <w:rPr>
          <w:rFonts w:ascii="Tahoma" w:hAnsi="Tahoma" w:cs="Tahoma"/>
          <w:sz w:val="24"/>
          <w:szCs w:val="24"/>
        </w:rPr>
        <w:t xml:space="preserve"> than the NI average</w:t>
      </w:r>
      <w:r w:rsidR="005A0E7C" w:rsidRPr="00504D8F">
        <w:rPr>
          <w:rFonts w:ascii="Tahoma" w:hAnsi="Tahoma" w:cs="Tahoma"/>
          <w:sz w:val="24"/>
          <w:szCs w:val="24"/>
        </w:rPr>
        <w:t xml:space="preserve">. The number of VAT and/or PAYE registered businesses in </w:t>
      </w:r>
      <w:r w:rsidR="00AA5AD6" w:rsidRPr="00504D8F">
        <w:rPr>
          <w:rFonts w:ascii="Tahoma" w:hAnsi="Tahoma" w:cs="Tahoma"/>
          <w:sz w:val="24"/>
          <w:szCs w:val="24"/>
        </w:rPr>
        <w:t xml:space="preserve">Newry and </w:t>
      </w:r>
      <w:proofErr w:type="spellStart"/>
      <w:r w:rsidR="00AA5AD6" w:rsidRPr="00504D8F">
        <w:rPr>
          <w:rFonts w:ascii="Tahoma" w:hAnsi="Tahoma" w:cs="Tahoma"/>
          <w:sz w:val="24"/>
          <w:szCs w:val="24"/>
        </w:rPr>
        <w:t>Mourne</w:t>
      </w:r>
      <w:proofErr w:type="spellEnd"/>
      <w:r w:rsidR="00AA5AD6" w:rsidRPr="00504D8F">
        <w:rPr>
          <w:rFonts w:ascii="Tahoma" w:hAnsi="Tahoma" w:cs="Tahoma"/>
          <w:sz w:val="24"/>
          <w:szCs w:val="24"/>
        </w:rPr>
        <w:t xml:space="preserve"> fell</w:t>
      </w:r>
      <w:r w:rsidR="005A0E7C" w:rsidRPr="00504D8F">
        <w:rPr>
          <w:rFonts w:ascii="Tahoma" w:hAnsi="Tahoma" w:cs="Tahoma"/>
          <w:sz w:val="24"/>
          <w:szCs w:val="24"/>
        </w:rPr>
        <w:t xml:space="preserve"> from a peak of </w:t>
      </w:r>
      <w:r w:rsidR="00AA5AD6" w:rsidRPr="00504D8F">
        <w:rPr>
          <w:rFonts w:ascii="Tahoma" w:hAnsi="Tahoma" w:cs="Tahoma"/>
          <w:sz w:val="24"/>
          <w:szCs w:val="24"/>
        </w:rPr>
        <w:t>4,880</w:t>
      </w:r>
      <w:r w:rsidR="005A0E7C" w:rsidRPr="00504D8F">
        <w:rPr>
          <w:rFonts w:ascii="Tahoma" w:hAnsi="Tahoma" w:cs="Tahoma"/>
          <w:sz w:val="24"/>
          <w:szCs w:val="24"/>
        </w:rPr>
        <w:t xml:space="preserve"> in 200</w:t>
      </w:r>
      <w:r w:rsidR="00AA5AD6" w:rsidRPr="00504D8F">
        <w:rPr>
          <w:rFonts w:ascii="Tahoma" w:hAnsi="Tahoma" w:cs="Tahoma"/>
          <w:sz w:val="24"/>
          <w:szCs w:val="24"/>
        </w:rPr>
        <w:t>8</w:t>
      </w:r>
      <w:r w:rsidR="005A0E7C" w:rsidRPr="00504D8F">
        <w:rPr>
          <w:rFonts w:ascii="Tahoma" w:hAnsi="Tahoma" w:cs="Tahoma"/>
          <w:sz w:val="24"/>
          <w:szCs w:val="24"/>
        </w:rPr>
        <w:t xml:space="preserve"> to </w:t>
      </w:r>
      <w:r w:rsidR="00AA5AD6" w:rsidRPr="00504D8F">
        <w:rPr>
          <w:rFonts w:ascii="Tahoma" w:hAnsi="Tahoma" w:cs="Tahoma"/>
          <w:sz w:val="24"/>
          <w:szCs w:val="24"/>
        </w:rPr>
        <w:t>4,605 in 2014</w:t>
      </w:r>
      <w:r w:rsidR="005A0E7C" w:rsidRPr="00504D8F">
        <w:rPr>
          <w:rFonts w:ascii="Tahoma" w:hAnsi="Tahoma" w:cs="Tahoma"/>
          <w:sz w:val="24"/>
          <w:szCs w:val="24"/>
        </w:rPr>
        <w:t xml:space="preserve">. The figures for </w:t>
      </w:r>
      <w:proofErr w:type="gramStart"/>
      <w:r w:rsidR="00427351" w:rsidRPr="00504D8F">
        <w:rPr>
          <w:rFonts w:ascii="Tahoma" w:hAnsi="Tahoma" w:cs="Tahoma"/>
          <w:sz w:val="24"/>
          <w:szCs w:val="24"/>
        </w:rPr>
        <w:t>Down</w:t>
      </w:r>
      <w:proofErr w:type="gramEnd"/>
      <w:r w:rsidR="005A0E7C" w:rsidRPr="00504D8F">
        <w:rPr>
          <w:rFonts w:ascii="Tahoma" w:hAnsi="Tahoma" w:cs="Tahoma"/>
          <w:sz w:val="24"/>
          <w:szCs w:val="24"/>
        </w:rPr>
        <w:t xml:space="preserve"> follow a similar pattern </w:t>
      </w:r>
      <w:r w:rsidR="00192B58" w:rsidRPr="00504D8F">
        <w:rPr>
          <w:rFonts w:ascii="Tahoma" w:hAnsi="Tahoma" w:cs="Tahoma"/>
          <w:sz w:val="24"/>
          <w:szCs w:val="24"/>
        </w:rPr>
        <w:t xml:space="preserve">falling from </w:t>
      </w:r>
      <w:r w:rsidR="005A0E7C" w:rsidRPr="00504D8F">
        <w:rPr>
          <w:rFonts w:ascii="Tahoma" w:hAnsi="Tahoma" w:cs="Tahoma"/>
          <w:sz w:val="24"/>
          <w:szCs w:val="24"/>
        </w:rPr>
        <w:t xml:space="preserve">a high of </w:t>
      </w:r>
      <w:r w:rsidR="00427351" w:rsidRPr="00504D8F">
        <w:rPr>
          <w:rFonts w:ascii="Tahoma" w:hAnsi="Tahoma" w:cs="Tahoma"/>
          <w:sz w:val="24"/>
          <w:szCs w:val="24"/>
        </w:rPr>
        <w:t>3,005</w:t>
      </w:r>
      <w:r w:rsidR="005A0E7C" w:rsidRPr="00504D8F">
        <w:rPr>
          <w:rFonts w:ascii="Tahoma" w:hAnsi="Tahoma" w:cs="Tahoma"/>
          <w:sz w:val="24"/>
          <w:szCs w:val="24"/>
        </w:rPr>
        <w:t xml:space="preserve"> in 200</w:t>
      </w:r>
      <w:r w:rsidR="00427351" w:rsidRPr="00504D8F">
        <w:rPr>
          <w:rFonts w:ascii="Tahoma" w:hAnsi="Tahoma" w:cs="Tahoma"/>
          <w:sz w:val="24"/>
          <w:szCs w:val="24"/>
        </w:rPr>
        <w:t>8</w:t>
      </w:r>
      <w:r w:rsidR="005A0E7C" w:rsidRPr="00504D8F">
        <w:rPr>
          <w:rFonts w:ascii="Tahoma" w:hAnsi="Tahoma" w:cs="Tahoma"/>
          <w:sz w:val="24"/>
          <w:szCs w:val="24"/>
        </w:rPr>
        <w:t xml:space="preserve"> to </w:t>
      </w:r>
      <w:r w:rsidR="00427351" w:rsidRPr="00504D8F">
        <w:rPr>
          <w:rFonts w:ascii="Tahoma" w:hAnsi="Tahoma" w:cs="Tahoma"/>
          <w:sz w:val="24"/>
          <w:szCs w:val="24"/>
        </w:rPr>
        <w:t>2,705</w:t>
      </w:r>
      <w:r w:rsidR="005A0E7C" w:rsidRPr="00504D8F">
        <w:rPr>
          <w:rFonts w:ascii="Tahoma" w:hAnsi="Tahoma" w:cs="Tahoma"/>
          <w:sz w:val="24"/>
          <w:szCs w:val="24"/>
        </w:rPr>
        <w:t xml:space="preserve"> in 201</w:t>
      </w:r>
      <w:r w:rsidR="00ED2BF1" w:rsidRPr="00504D8F">
        <w:rPr>
          <w:rFonts w:ascii="Tahoma" w:hAnsi="Tahoma" w:cs="Tahoma"/>
          <w:sz w:val="24"/>
          <w:szCs w:val="24"/>
        </w:rPr>
        <w:t>3</w:t>
      </w:r>
      <w:r w:rsidR="005A0E7C" w:rsidRPr="00504D8F">
        <w:rPr>
          <w:rFonts w:ascii="Tahoma" w:hAnsi="Tahoma" w:cs="Tahoma"/>
          <w:sz w:val="24"/>
          <w:szCs w:val="24"/>
        </w:rPr>
        <w:t>.</w:t>
      </w:r>
      <w:r w:rsidR="00ED2BF1" w:rsidRPr="00504D8F">
        <w:rPr>
          <w:rFonts w:ascii="Tahoma" w:hAnsi="Tahoma" w:cs="Tahoma"/>
          <w:sz w:val="24"/>
          <w:szCs w:val="24"/>
        </w:rPr>
        <w:t xml:space="preserve"> I</w:t>
      </w:r>
      <w:r w:rsidR="00427351" w:rsidRPr="00504D8F">
        <w:rPr>
          <w:rFonts w:ascii="Tahoma" w:hAnsi="Tahoma" w:cs="Tahoma"/>
          <w:sz w:val="24"/>
          <w:szCs w:val="24"/>
        </w:rPr>
        <w:t xml:space="preserve">t is positive to consider that </w:t>
      </w:r>
      <w:r w:rsidR="00192B58" w:rsidRPr="00504D8F">
        <w:rPr>
          <w:rFonts w:ascii="Tahoma" w:hAnsi="Tahoma" w:cs="Tahoma"/>
          <w:sz w:val="24"/>
          <w:szCs w:val="24"/>
        </w:rPr>
        <w:t xml:space="preserve">the figures have started to rise again in Down with </w:t>
      </w:r>
      <w:r w:rsidR="00427351" w:rsidRPr="00504D8F">
        <w:rPr>
          <w:rFonts w:ascii="Tahoma" w:hAnsi="Tahoma" w:cs="Tahoma"/>
          <w:sz w:val="24"/>
          <w:szCs w:val="24"/>
        </w:rPr>
        <w:t>2</w:t>
      </w:r>
      <w:r w:rsidR="00192B58" w:rsidRPr="00504D8F">
        <w:rPr>
          <w:rFonts w:ascii="Tahoma" w:hAnsi="Tahoma" w:cs="Tahoma"/>
          <w:sz w:val="24"/>
          <w:szCs w:val="24"/>
        </w:rPr>
        <w:t xml:space="preserve">5 more businesses being registered </w:t>
      </w:r>
      <w:r w:rsidR="00ED2BF1" w:rsidRPr="00504D8F">
        <w:rPr>
          <w:rFonts w:ascii="Tahoma" w:hAnsi="Tahoma" w:cs="Tahoma"/>
          <w:sz w:val="24"/>
          <w:szCs w:val="24"/>
        </w:rPr>
        <w:t>in the period 2013-2014</w:t>
      </w:r>
      <w:r w:rsidR="00334B60" w:rsidRPr="00504D8F">
        <w:rPr>
          <w:rStyle w:val="FootnoteReference"/>
          <w:rFonts w:ascii="Tahoma" w:hAnsi="Tahoma" w:cs="Tahoma"/>
          <w:sz w:val="24"/>
          <w:szCs w:val="24"/>
        </w:rPr>
        <w:footnoteReference w:id="11"/>
      </w:r>
      <w:r w:rsidR="00ED2BF1" w:rsidRPr="00504D8F">
        <w:rPr>
          <w:rFonts w:ascii="Tahoma" w:hAnsi="Tahoma" w:cs="Tahoma"/>
          <w:sz w:val="24"/>
          <w:szCs w:val="24"/>
        </w:rPr>
        <w:t>.</w:t>
      </w:r>
      <w:r w:rsidR="005A0E7C" w:rsidRPr="00504D8F">
        <w:rPr>
          <w:rFonts w:ascii="Tahoma" w:hAnsi="Tahoma" w:cs="Tahoma"/>
          <w:sz w:val="24"/>
          <w:szCs w:val="24"/>
        </w:rPr>
        <w:t xml:space="preserve"> </w:t>
      </w:r>
      <w:r w:rsidR="00ED2BF1" w:rsidRPr="00504D8F">
        <w:rPr>
          <w:rFonts w:ascii="Tahoma" w:hAnsi="Tahoma" w:cs="Tahoma"/>
          <w:sz w:val="24"/>
          <w:szCs w:val="24"/>
        </w:rPr>
        <w:t xml:space="preserve">It </w:t>
      </w:r>
      <w:r w:rsidR="005A0E7C" w:rsidRPr="00504D8F">
        <w:rPr>
          <w:rFonts w:ascii="Tahoma" w:hAnsi="Tahoma" w:cs="Tahoma"/>
          <w:sz w:val="24"/>
          <w:szCs w:val="24"/>
        </w:rPr>
        <w:t xml:space="preserve">is also noted that there has been a higher rate of business deaths in both </w:t>
      </w:r>
      <w:r w:rsidR="00DA7E23" w:rsidRPr="00504D8F">
        <w:rPr>
          <w:rFonts w:ascii="Tahoma" w:hAnsi="Tahoma" w:cs="Tahoma"/>
          <w:sz w:val="24"/>
          <w:szCs w:val="24"/>
        </w:rPr>
        <w:t xml:space="preserve">former </w:t>
      </w:r>
      <w:r w:rsidR="005A0E7C" w:rsidRPr="00504D8F">
        <w:rPr>
          <w:rFonts w:ascii="Tahoma" w:hAnsi="Tahoma" w:cs="Tahoma"/>
          <w:sz w:val="24"/>
          <w:szCs w:val="24"/>
        </w:rPr>
        <w:t>districts compared to business births post-2008.</w:t>
      </w:r>
      <w:r w:rsidR="00334B60" w:rsidRPr="00504D8F">
        <w:rPr>
          <w:rStyle w:val="FootnoteReference"/>
          <w:rFonts w:ascii="Tahoma" w:hAnsi="Tahoma" w:cs="Tahoma"/>
          <w:sz w:val="24"/>
          <w:szCs w:val="24"/>
        </w:rPr>
        <w:footnoteReference w:id="12"/>
      </w:r>
    </w:p>
    <w:p w:rsidR="006E39E8" w:rsidRDefault="006E39E8" w:rsidP="00261D78">
      <w:pPr>
        <w:autoSpaceDE w:val="0"/>
        <w:autoSpaceDN w:val="0"/>
        <w:adjustRightInd w:val="0"/>
        <w:spacing w:after="0" w:line="240" w:lineRule="auto"/>
        <w:rPr>
          <w:rFonts w:ascii="Arial" w:hAnsi="Arial" w:cs="Arial"/>
          <w:b/>
          <w:sz w:val="24"/>
          <w:szCs w:val="24"/>
        </w:rPr>
      </w:pPr>
    </w:p>
    <w:p w:rsidR="006E39E8" w:rsidRDefault="006E39E8"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504D8F" w:rsidRDefault="00504D8F" w:rsidP="00261D78">
      <w:pPr>
        <w:autoSpaceDE w:val="0"/>
        <w:autoSpaceDN w:val="0"/>
        <w:adjustRightInd w:val="0"/>
        <w:spacing w:after="0" w:line="240" w:lineRule="auto"/>
        <w:rPr>
          <w:rFonts w:ascii="Arial" w:hAnsi="Arial" w:cs="Arial"/>
          <w:b/>
          <w:sz w:val="24"/>
          <w:szCs w:val="24"/>
        </w:rPr>
      </w:pPr>
    </w:p>
    <w:p w:rsidR="00334B60" w:rsidRPr="00132AF8" w:rsidRDefault="00AD3F43" w:rsidP="00261D78">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lastRenderedPageBreak/>
        <w:t>Figure 2</w:t>
      </w:r>
      <w:r w:rsidR="00334B60" w:rsidRPr="00132AF8">
        <w:rPr>
          <w:rFonts w:ascii="Tahoma" w:hAnsi="Tahoma" w:cs="Tahoma"/>
          <w:b/>
          <w:sz w:val="24"/>
          <w:szCs w:val="24"/>
        </w:rPr>
        <w:t>: No</w:t>
      </w:r>
      <w:r w:rsidR="00DA7E23" w:rsidRPr="00132AF8">
        <w:rPr>
          <w:rFonts w:ascii="Tahoma" w:hAnsi="Tahoma" w:cs="Tahoma"/>
          <w:b/>
          <w:sz w:val="24"/>
          <w:szCs w:val="24"/>
        </w:rPr>
        <w:t>.</w:t>
      </w:r>
      <w:r w:rsidR="00334B60" w:rsidRPr="00132AF8">
        <w:rPr>
          <w:rFonts w:ascii="Tahoma" w:hAnsi="Tahoma" w:cs="Tahoma"/>
          <w:b/>
          <w:sz w:val="24"/>
          <w:szCs w:val="24"/>
        </w:rPr>
        <w:t xml:space="preserve"> of VAT and or PAYE registered Businesses Operating in Northern Ireland by LGD 2014</w:t>
      </w:r>
    </w:p>
    <w:p w:rsidR="00762E85" w:rsidRDefault="00762E85" w:rsidP="00261D78">
      <w:pPr>
        <w:autoSpaceDE w:val="0"/>
        <w:autoSpaceDN w:val="0"/>
        <w:adjustRightInd w:val="0"/>
        <w:spacing w:after="0" w:line="240" w:lineRule="auto"/>
        <w:rPr>
          <w:rFonts w:ascii="Arial" w:hAnsi="Arial" w:cs="Arial"/>
          <w:b/>
          <w:sz w:val="24"/>
          <w:szCs w:val="24"/>
        </w:rPr>
      </w:pPr>
    </w:p>
    <w:p w:rsidR="004818AF" w:rsidRPr="00762E85" w:rsidRDefault="007A677A" w:rsidP="005A0E7C">
      <w:pPr>
        <w:autoSpaceDE w:val="0"/>
        <w:autoSpaceDN w:val="0"/>
        <w:adjustRightInd w:val="0"/>
        <w:spacing w:after="0" w:line="240" w:lineRule="auto"/>
        <w:rPr>
          <w:rFonts w:ascii="Arial" w:hAnsi="Arial" w:cs="Arial"/>
          <w:sz w:val="16"/>
          <w:szCs w:val="16"/>
        </w:rPr>
      </w:pPr>
      <w:r>
        <w:rPr>
          <w:noProof/>
          <w:lang w:eastAsia="en-GB"/>
        </w:rPr>
        <w:drawing>
          <wp:inline distT="0" distB="0" distL="0" distR="0" wp14:anchorId="2145CC59" wp14:editId="2CBC43BC">
            <wp:extent cx="5726430" cy="2868930"/>
            <wp:effectExtent l="0" t="0" r="2667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818AF" w:rsidRPr="004818AF">
        <w:rPr>
          <w:rFonts w:ascii="Arial" w:hAnsi="Arial" w:cs="Arial"/>
          <w:bCs/>
          <w:sz w:val="16"/>
          <w:szCs w:val="16"/>
        </w:rPr>
        <w:t>Source</w:t>
      </w:r>
      <w:r w:rsidR="004818AF">
        <w:rPr>
          <w:rFonts w:ascii="Arial" w:hAnsi="Arial" w:cs="Arial"/>
          <w:bCs/>
          <w:sz w:val="16"/>
          <w:szCs w:val="16"/>
        </w:rPr>
        <w:t>: Inter Departm</w:t>
      </w:r>
      <w:r>
        <w:rPr>
          <w:rFonts w:ascii="Arial" w:hAnsi="Arial" w:cs="Arial"/>
          <w:bCs/>
          <w:sz w:val="16"/>
          <w:szCs w:val="16"/>
        </w:rPr>
        <w:t>ental Business Register (IDBR) M</w:t>
      </w:r>
      <w:r w:rsidR="004818AF">
        <w:rPr>
          <w:rFonts w:ascii="Arial" w:hAnsi="Arial" w:cs="Arial"/>
          <w:bCs/>
          <w:sz w:val="16"/>
          <w:szCs w:val="16"/>
        </w:rPr>
        <w:t>arch 2013-2014</w:t>
      </w:r>
    </w:p>
    <w:p w:rsidR="00762E85" w:rsidRDefault="00762E85" w:rsidP="005A0E7C">
      <w:pPr>
        <w:autoSpaceDE w:val="0"/>
        <w:autoSpaceDN w:val="0"/>
        <w:adjustRightInd w:val="0"/>
        <w:spacing w:after="0" w:line="240" w:lineRule="auto"/>
        <w:rPr>
          <w:rFonts w:ascii="Arial" w:hAnsi="Arial" w:cs="Arial"/>
          <w:b/>
          <w:bCs/>
          <w:sz w:val="24"/>
          <w:szCs w:val="24"/>
        </w:rPr>
      </w:pPr>
    </w:p>
    <w:p w:rsidR="0019114F" w:rsidRDefault="0019114F" w:rsidP="005A0E7C">
      <w:pPr>
        <w:autoSpaceDE w:val="0"/>
        <w:autoSpaceDN w:val="0"/>
        <w:adjustRightInd w:val="0"/>
        <w:spacing w:after="0" w:line="240" w:lineRule="auto"/>
        <w:rPr>
          <w:rFonts w:ascii="Arial" w:hAnsi="Arial" w:cs="Arial"/>
          <w:b/>
          <w:bCs/>
          <w:sz w:val="24"/>
          <w:szCs w:val="24"/>
        </w:rPr>
      </w:pPr>
    </w:p>
    <w:p w:rsidR="005A0E7C" w:rsidRPr="00132AF8" w:rsidRDefault="005A0E7C" w:rsidP="005A0E7C">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t>Economic Activity</w:t>
      </w:r>
      <w:r w:rsidR="00334B60" w:rsidRPr="00132AF8">
        <w:rPr>
          <w:rFonts w:ascii="Tahoma" w:hAnsi="Tahoma" w:cs="Tahoma"/>
          <w:b/>
          <w:bCs/>
          <w:sz w:val="24"/>
          <w:szCs w:val="24"/>
        </w:rPr>
        <w:t xml:space="preserve"> </w:t>
      </w:r>
    </w:p>
    <w:p w:rsidR="001155BE" w:rsidRPr="00132AF8" w:rsidRDefault="001155BE" w:rsidP="005A0E7C">
      <w:pPr>
        <w:autoSpaceDE w:val="0"/>
        <w:autoSpaceDN w:val="0"/>
        <w:adjustRightInd w:val="0"/>
        <w:spacing w:after="0" w:line="240" w:lineRule="auto"/>
        <w:rPr>
          <w:rFonts w:ascii="Tahoma" w:hAnsi="Tahoma" w:cs="Tahoma"/>
          <w:b/>
          <w:bCs/>
          <w:sz w:val="24"/>
          <w:szCs w:val="24"/>
        </w:rPr>
      </w:pPr>
    </w:p>
    <w:p w:rsidR="001155BE" w:rsidRPr="00132AF8" w:rsidRDefault="001B0BCA" w:rsidP="008E411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3.18</w:t>
      </w:r>
      <w:r w:rsidRPr="00132AF8">
        <w:rPr>
          <w:rFonts w:ascii="Tahoma" w:hAnsi="Tahoma" w:cs="Tahoma"/>
          <w:bCs/>
          <w:sz w:val="24"/>
          <w:szCs w:val="24"/>
        </w:rPr>
        <w:t xml:space="preserve"> </w:t>
      </w:r>
      <w:r w:rsidR="00866BF0">
        <w:rPr>
          <w:rFonts w:ascii="Tahoma" w:hAnsi="Tahoma" w:cs="Tahoma"/>
          <w:bCs/>
          <w:sz w:val="24"/>
          <w:szCs w:val="24"/>
        </w:rPr>
        <w:tab/>
      </w:r>
      <w:r w:rsidR="001155BE" w:rsidRPr="00132AF8">
        <w:rPr>
          <w:rFonts w:ascii="Tahoma" w:hAnsi="Tahoma" w:cs="Tahoma"/>
          <w:bCs/>
          <w:sz w:val="24"/>
          <w:szCs w:val="24"/>
        </w:rPr>
        <w:t xml:space="preserve">The economically active </w:t>
      </w:r>
      <w:r w:rsidR="00C464A8" w:rsidRPr="00132AF8">
        <w:rPr>
          <w:rFonts w:ascii="Tahoma" w:hAnsi="Tahoma" w:cs="Tahoma"/>
          <w:bCs/>
          <w:sz w:val="24"/>
          <w:szCs w:val="24"/>
        </w:rPr>
        <w:t xml:space="preserve">are defined as those </w:t>
      </w:r>
      <w:r w:rsidR="001155BE" w:rsidRPr="00132AF8">
        <w:rPr>
          <w:rFonts w:ascii="Tahoma" w:hAnsi="Tahoma" w:cs="Tahoma"/>
          <w:bCs/>
          <w:sz w:val="24"/>
          <w:szCs w:val="24"/>
        </w:rPr>
        <w:t>age</w:t>
      </w:r>
      <w:r w:rsidR="00C464A8" w:rsidRPr="00132AF8">
        <w:rPr>
          <w:rFonts w:ascii="Tahoma" w:hAnsi="Tahoma" w:cs="Tahoma"/>
          <w:bCs/>
          <w:sz w:val="24"/>
          <w:szCs w:val="24"/>
        </w:rPr>
        <w:t xml:space="preserve">d </w:t>
      </w:r>
      <w:r w:rsidR="001155BE" w:rsidRPr="00132AF8">
        <w:rPr>
          <w:rFonts w:ascii="Tahoma" w:hAnsi="Tahoma" w:cs="Tahoma"/>
          <w:bCs/>
          <w:sz w:val="24"/>
          <w:szCs w:val="24"/>
        </w:rPr>
        <w:t>16-</w:t>
      </w:r>
      <w:r w:rsidR="00C464A8" w:rsidRPr="00132AF8">
        <w:rPr>
          <w:rFonts w:ascii="Tahoma" w:hAnsi="Tahoma" w:cs="Tahoma"/>
          <w:bCs/>
          <w:sz w:val="24"/>
          <w:szCs w:val="24"/>
        </w:rPr>
        <w:t>7</w:t>
      </w:r>
      <w:r w:rsidR="001155BE" w:rsidRPr="00132AF8">
        <w:rPr>
          <w:rFonts w:ascii="Tahoma" w:hAnsi="Tahoma" w:cs="Tahoma"/>
          <w:bCs/>
          <w:sz w:val="24"/>
          <w:szCs w:val="24"/>
        </w:rPr>
        <w:t>4</w:t>
      </w:r>
      <w:r w:rsidR="00C464A8" w:rsidRPr="00132AF8">
        <w:rPr>
          <w:rStyle w:val="FootnoteReference"/>
          <w:rFonts w:ascii="Tahoma" w:hAnsi="Tahoma" w:cs="Tahoma"/>
          <w:bCs/>
          <w:sz w:val="24"/>
          <w:szCs w:val="24"/>
        </w:rPr>
        <w:footnoteReference w:id="13"/>
      </w:r>
      <w:r w:rsidR="009F4779" w:rsidRPr="00132AF8">
        <w:rPr>
          <w:rFonts w:ascii="Tahoma" w:hAnsi="Tahoma" w:cs="Tahoma"/>
          <w:bCs/>
          <w:sz w:val="24"/>
          <w:szCs w:val="24"/>
        </w:rPr>
        <w:t xml:space="preserve"> </w:t>
      </w:r>
      <w:r w:rsidR="001155BE" w:rsidRPr="00132AF8">
        <w:rPr>
          <w:rFonts w:ascii="Tahoma" w:hAnsi="Tahoma" w:cs="Tahoma"/>
          <w:bCs/>
          <w:sz w:val="24"/>
          <w:szCs w:val="24"/>
        </w:rPr>
        <w:t xml:space="preserve">who are either in employment (full time or part time) as an </w:t>
      </w:r>
      <w:r w:rsidR="00E8017B" w:rsidRPr="00132AF8">
        <w:rPr>
          <w:rFonts w:ascii="Tahoma" w:hAnsi="Tahoma" w:cs="Tahoma"/>
          <w:bCs/>
          <w:sz w:val="24"/>
          <w:szCs w:val="24"/>
        </w:rPr>
        <w:t xml:space="preserve">employee or </w:t>
      </w:r>
      <w:proofErr w:type="spellStart"/>
      <w:r w:rsidR="00E8017B" w:rsidRPr="00132AF8">
        <w:rPr>
          <w:rFonts w:ascii="Tahoma" w:hAnsi="Tahoma" w:cs="Tahoma"/>
          <w:bCs/>
          <w:sz w:val="24"/>
          <w:szCs w:val="24"/>
        </w:rPr>
        <w:t xml:space="preserve">self </w:t>
      </w:r>
      <w:proofErr w:type="gramStart"/>
      <w:r w:rsidR="00E8017B" w:rsidRPr="00132AF8">
        <w:rPr>
          <w:rFonts w:ascii="Tahoma" w:hAnsi="Tahoma" w:cs="Tahoma"/>
          <w:bCs/>
          <w:sz w:val="24"/>
          <w:szCs w:val="24"/>
        </w:rPr>
        <w:t>employed</w:t>
      </w:r>
      <w:proofErr w:type="spellEnd"/>
      <w:r w:rsidR="00E8017B" w:rsidRPr="00132AF8">
        <w:rPr>
          <w:rFonts w:ascii="Tahoma" w:hAnsi="Tahoma" w:cs="Tahoma"/>
          <w:bCs/>
          <w:sz w:val="24"/>
          <w:szCs w:val="24"/>
        </w:rPr>
        <w:t xml:space="preserve">  or</w:t>
      </w:r>
      <w:proofErr w:type="gramEnd"/>
      <w:r w:rsidR="00E8017B" w:rsidRPr="00132AF8">
        <w:rPr>
          <w:rFonts w:ascii="Tahoma" w:hAnsi="Tahoma" w:cs="Tahoma"/>
          <w:bCs/>
          <w:sz w:val="24"/>
          <w:szCs w:val="24"/>
        </w:rPr>
        <w:t xml:space="preserve"> </w:t>
      </w:r>
      <w:r w:rsidR="001155BE" w:rsidRPr="00132AF8">
        <w:rPr>
          <w:rFonts w:ascii="Tahoma" w:hAnsi="Tahoma" w:cs="Tahoma"/>
          <w:bCs/>
          <w:sz w:val="24"/>
          <w:szCs w:val="24"/>
        </w:rPr>
        <w:t>those actively seeking work.</w:t>
      </w:r>
    </w:p>
    <w:p w:rsidR="001D259A" w:rsidRPr="00132AF8" w:rsidRDefault="001D259A" w:rsidP="008E411D">
      <w:pPr>
        <w:autoSpaceDE w:val="0"/>
        <w:autoSpaceDN w:val="0"/>
        <w:adjustRightInd w:val="0"/>
        <w:spacing w:after="0" w:line="240" w:lineRule="auto"/>
        <w:jc w:val="both"/>
        <w:rPr>
          <w:rFonts w:ascii="Tahoma" w:hAnsi="Tahoma" w:cs="Tahoma"/>
          <w:b/>
          <w:bCs/>
          <w:sz w:val="24"/>
          <w:szCs w:val="24"/>
        </w:rPr>
      </w:pPr>
    </w:p>
    <w:p w:rsidR="005A0E7C" w:rsidRPr="00132AF8" w:rsidRDefault="001B0BCA"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3.19</w:t>
      </w:r>
      <w:r w:rsidR="005A0E7C" w:rsidRPr="00132AF8">
        <w:rPr>
          <w:rFonts w:ascii="Tahoma" w:hAnsi="Tahoma" w:cs="Tahoma"/>
          <w:b/>
          <w:bCs/>
          <w:sz w:val="24"/>
          <w:szCs w:val="24"/>
        </w:rPr>
        <w:t xml:space="preserve"> </w:t>
      </w:r>
      <w:r w:rsidR="00866BF0">
        <w:rPr>
          <w:rFonts w:ascii="Tahoma" w:hAnsi="Tahoma" w:cs="Tahoma"/>
          <w:b/>
          <w:bCs/>
          <w:sz w:val="24"/>
          <w:szCs w:val="24"/>
        </w:rPr>
        <w:tab/>
      </w:r>
      <w:r w:rsidR="005A0E7C" w:rsidRPr="00132AF8">
        <w:rPr>
          <w:rFonts w:ascii="Tahoma" w:hAnsi="Tahoma" w:cs="Tahoma"/>
          <w:sz w:val="24"/>
          <w:szCs w:val="24"/>
        </w:rPr>
        <w:t xml:space="preserve">The number and percentage of economically active persons in </w:t>
      </w:r>
      <w:r w:rsidR="00C64E0D" w:rsidRPr="00132AF8">
        <w:rPr>
          <w:rFonts w:ascii="Tahoma" w:hAnsi="Tahoma" w:cs="Tahoma"/>
          <w:sz w:val="24"/>
          <w:szCs w:val="24"/>
        </w:rPr>
        <w:t xml:space="preserve">Newry, </w:t>
      </w:r>
      <w:proofErr w:type="spellStart"/>
      <w:r w:rsidR="00C64E0D" w:rsidRPr="00132AF8">
        <w:rPr>
          <w:rFonts w:ascii="Tahoma" w:hAnsi="Tahoma" w:cs="Tahoma"/>
          <w:sz w:val="24"/>
          <w:szCs w:val="24"/>
        </w:rPr>
        <w:t>Mourne</w:t>
      </w:r>
      <w:proofErr w:type="spellEnd"/>
      <w:r w:rsidR="00C64E0D" w:rsidRPr="00132AF8">
        <w:rPr>
          <w:rFonts w:ascii="Tahoma" w:hAnsi="Tahoma" w:cs="Tahoma"/>
          <w:sz w:val="24"/>
          <w:szCs w:val="24"/>
        </w:rPr>
        <w:t xml:space="preserve"> and </w:t>
      </w:r>
      <w:proofErr w:type="gramStart"/>
      <w:r w:rsidR="00C64E0D" w:rsidRPr="00132AF8">
        <w:rPr>
          <w:rFonts w:ascii="Tahoma" w:hAnsi="Tahoma" w:cs="Tahoma"/>
          <w:sz w:val="24"/>
          <w:szCs w:val="24"/>
        </w:rPr>
        <w:t>Down</w:t>
      </w:r>
      <w:proofErr w:type="gramEnd"/>
      <w:r w:rsidR="005A0E7C" w:rsidRPr="00132AF8">
        <w:rPr>
          <w:rFonts w:ascii="Tahoma" w:hAnsi="Tahoma" w:cs="Tahoma"/>
          <w:sz w:val="24"/>
          <w:szCs w:val="24"/>
        </w:rPr>
        <w:t xml:space="preserve"> ha</w:t>
      </w:r>
      <w:r w:rsidR="007635CF" w:rsidRPr="00132AF8">
        <w:rPr>
          <w:rFonts w:ascii="Tahoma" w:hAnsi="Tahoma" w:cs="Tahoma"/>
          <w:sz w:val="24"/>
          <w:szCs w:val="24"/>
        </w:rPr>
        <w:t>s steadily increased between 198</w:t>
      </w:r>
      <w:r w:rsidR="005A0E7C" w:rsidRPr="00132AF8">
        <w:rPr>
          <w:rFonts w:ascii="Tahoma" w:hAnsi="Tahoma" w:cs="Tahoma"/>
          <w:sz w:val="24"/>
          <w:szCs w:val="24"/>
        </w:rPr>
        <w:t xml:space="preserve">1 and 2011. </w:t>
      </w:r>
      <w:r w:rsidR="0013619C" w:rsidRPr="00132AF8">
        <w:rPr>
          <w:rFonts w:ascii="Tahoma" w:hAnsi="Tahoma" w:cs="Tahoma"/>
          <w:sz w:val="24"/>
          <w:szCs w:val="24"/>
        </w:rPr>
        <w:t xml:space="preserve">Newry and </w:t>
      </w:r>
      <w:proofErr w:type="spellStart"/>
      <w:r w:rsidR="0013619C" w:rsidRPr="00132AF8">
        <w:rPr>
          <w:rFonts w:ascii="Tahoma" w:hAnsi="Tahoma" w:cs="Tahoma"/>
          <w:sz w:val="24"/>
          <w:szCs w:val="24"/>
        </w:rPr>
        <w:t>Mourne</w:t>
      </w:r>
      <w:proofErr w:type="spellEnd"/>
      <w:r w:rsidR="00E41D00" w:rsidRPr="00132AF8">
        <w:rPr>
          <w:rFonts w:ascii="Tahoma" w:hAnsi="Tahoma" w:cs="Tahoma"/>
          <w:sz w:val="24"/>
          <w:szCs w:val="24"/>
        </w:rPr>
        <w:t xml:space="preserve"> has been </w:t>
      </w:r>
      <w:r w:rsidR="00DD5596" w:rsidRPr="00132AF8">
        <w:rPr>
          <w:rFonts w:ascii="Tahoma" w:hAnsi="Tahoma" w:cs="Tahoma"/>
          <w:sz w:val="24"/>
          <w:szCs w:val="24"/>
        </w:rPr>
        <w:t xml:space="preserve">well </w:t>
      </w:r>
      <w:r w:rsidR="00E41D00" w:rsidRPr="00132AF8">
        <w:rPr>
          <w:rFonts w:ascii="Tahoma" w:hAnsi="Tahoma" w:cs="Tahoma"/>
          <w:sz w:val="24"/>
          <w:szCs w:val="24"/>
        </w:rPr>
        <w:t>below</w:t>
      </w:r>
      <w:r w:rsidR="007E41E7" w:rsidRPr="00132AF8">
        <w:rPr>
          <w:rFonts w:ascii="Tahoma" w:hAnsi="Tahoma" w:cs="Tahoma"/>
          <w:sz w:val="24"/>
          <w:szCs w:val="24"/>
        </w:rPr>
        <w:t xml:space="preserve"> the NI average lev</w:t>
      </w:r>
      <w:r w:rsidR="00E41D00" w:rsidRPr="00132AF8">
        <w:rPr>
          <w:rFonts w:ascii="Tahoma" w:hAnsi="Tahoma" w:cs="Tahoma"/>
          <w:sz w:val="24"/>
          <w:szCs w:val="24"/>
        </w:rPr>
        <w:t>els of economic activity for 1981, 1991 and</w:t>
      </w:r>
      <w:r w:rsidR="007E41E7" w:rsidRPr="00132AF8">
        <w:rPr>
          <w:rFonts w:ascii="Tahoma" w:hAnsi="Tahoma" w:cs="Tahoma"/>
          <w:sz w:val="24"/>
          <w:szCs w:val="24"/>
        </w:rPr>
        <w:t xml:space="preserve"> 2001 </w:t>
      </w:r>
      <w:r w:rsidR="00DD5596" w:rsidRPr="00132AF8">
        <w:rPr>
          <w:rFonts w:ascii="Tahoma" w:hAnsi="Tahoma" w:cs="Tahoma"/>
          <w:sz w:val="24"/>
          <w:szCs w:val="24"/>
        </w:rPr>
        <w:t>however in 2011 the gap has been significantly reduced</w:t>
      </w:r>
      <w:r w:rsidR="007635CF" w:rsidRPr="00132AF8">
        <w:rPr>
          <w:rFonts w:ascii="Tahoma" w:hAnsi="Tahoma" w:cs="Tahoma"/>
          <w:sz w:val="24"/>
          <w:szCs w:val="24"/>
        </w:rPr>
        <w:t xml:space="preserve"> </w:t>
      </w:r>
      <w:r w:rsidR="00AD3F43" w:rsidRPr="00132AF8">
        <w:rPr>
          <w:rFonts w:ascii="Tahoma" w:hAnsi="Tahoma" w:cs="Tahoma"/>
          <w:sz w:val="24"/>
          <w:szCs w:val="24"/>
        </w:rPr>
        <w:t>(See T</w:t>
      </w:r>
      <w:r w:rsidR="00DB494D" w:rsidRPr="00132AF8">
        <w:rPr>
          <w:rFonts w:ascii="Tahoma" w:hAnsi="Tahoma" w:cs="Tahoma"/>
          <w:sz w:val="24"/>
          <w:szCs w:val="24"/>
        </w:rPr>
        <w:t>able 2)</w:t>
      </w:r>
      <w:r w:rsidR="007E41E7" w:rsidRPr="00132AF8">
        <w:rPr>
          <w:rFonts w:ascii="Tahoma" w:hAnsi="Tahoma" w:cs="Tahoma"/>
          <w:sz w:val="24"/>
          <w:szCs w:val="24"/>
        </w:rPr>
        <w:t xml:space="preserve">. </w:t>
      </w:r>
      <w:r w:rsidR="005B5927" w:rsidRPr="00132AF8">
        <w:rPr>
          <w:rFonts w:ascii="Tahoma" w:hAnsi="Tahoma" w:cs="Tahoma"/>
          <w:sz w:val="24"/>
          <w:szCs w:val="24"/>
        </w:rPr>
        <w:t xml:space="preserve">These economic activity level figures are crude and do not factor in the average wage levels or the breakdown of part-time workers. </w:t>
      </w:r>
      <w:r w:rsidR="005A0E7C" w:rsidRPr="00132AF8">
        <w:rPr>
          <w:rFonts w:ascii="Tahoma" w:hAnsi="Tahoma" w:cs="Tahoma"/>
          <w:sz w:val="24"/>
          <w:szCs w:val="24"/>
        </w:rPr>
        <w:t>Much of this growth is as a result of increasing numbers of women entering the job market (Table 3). Research by DETI (2014) confirms that 47% of those aged 16-64</w:t>
      </w:r>
      <w:r w:rsidR="00C464A8" w:rsidRPr="00132AF8">
        <w:rPr>
          <w:rStyle w:val="FootnoteReference"/>
          <w:rFonts w:ascii="Tahoma" w:hAnsi="Tahoma" w:cs="Tahoma"/>
          <w:sz w:val="24"/>
          <w:szCs w:val="24"/>
        </w:rPr>
        <w:footnoteReference w:id="14"/>
      </w:r>
      <w:r w:rsidR="005A0E7C" w:rsidRPr="00132AF8">
        <w:rPr>
          <w:rFonts w:ascii="Tahoma" w:hAnsi="Tahoma" w:cs="Tahoma"/>
          <w:sz w:val="24"/>
          <w:szCs w:val="24"/>
        </w:rPr>
        <w:t xml:space="preserve"> currently in employment in Northern Ireland are women and female employment has continued to rise over the last 20 years compared with a fall for males.</w:t>
      </w:r>
      <w:r w:rsidR="00B83CC6" w:rsidRPr="00132AF8">
        <w:rPr>
          <w:rStyle w:val="FootnoteReference"/>
          <w:rFonts w:ascii="Tahoma" w:hAnsi="Tahoma" w:cs="Tahoma"/>
          <w:sz w:val="24"/>
          <w:szCs w:val="24"/>
        </w:rPr>
        <w:footnoteReference w:id="15"/>
      </w:r>
      <w:r w:rsidR="005A0E7C" w:rsidRPr="00132AF8">
        <w:rPr>
          <w:rFonts w:ascii="Tahoma" w:hAnsi="Tahoma" w:cs="Tahoma"/>
          <w:sz w:val="24"/>
          <w:szCs w:val="24"/>
        </w:rPr>
        <w:t xml:space="preserve"> If these trends continue, more women are likely to enter the employment market over the plan period.</w:t>
      </w:r>
    </w:p>
    <w:p w:rsidR="00F451A7" w:rsidRPr="00132AF8" w:rsidRDefault="00F451A7" w:rsidP="008E411D">
      <w:pPr>
        <w:autoSpaceDE w:val="0"/>
        <w:autoSpaceDN w:val="0"/>
        <w:adjustRightInd w:val="0"/>
        <w:spacing w:after="0" w:line="240" w:lineRule="auto"/>
        <w:jc w:val="both"/>
        <w:rPr>
          <w:rFonts w:ascii="Tahoma" w:hAnsi="Tahoma" w:cs="Tahoma"/>
          <w:sz w:val="24"/>
          <w:szCs w:val="24"/>
        </w:rPr>
      </w:pPr>
    </w:p>
    <w:p w:rsidR="009F4779" w:rsidRDefault="009F4779" w:rsidP="008E411D">
      <w:pPr>
        <w:autoSpaceDE w:val="0"/>
        <w:autoSpaceDN w:val="0"/>
        <w:adjustRightInd w:val="0"/>
        <w:spacing w:after="0" w:line="240" w:lineRule="auto"/>
        <w:jc w:val="both"/>
        <w:rPr>
          <w:rFonts w:ascii="Arial" w:hAnsi="Arial" w:cs="Arial"/>
          <w:sz w:val="24"/>
          <w:szCs w:val="24"/>
        </w:rPr>
      </w:pPr>
    </w:p>
    <w:p w:rsidR="003F20C9" w:rsidRDefault="003F20C9" w:rsidP="005A0E7C">
      <w:pPr>
        <w:autoSpaceDE w:val="0"/>
        <w:autoSpaceDN w:val="0"/>
        <w:adjustRightInd w:val="0"/>
        <w:spacing w:after="0" w:line="240" w:lineRule="auto"/>
        <w:rPr>
          <w:rFonts w:ascii="Arial" w:hAnsi="Arial" w:cs="Arial"/>
          <w:sz w:val="24"/>
          <w:szCs w:val="24"/>
        </w:rPr>
      </w:pPr>
    </w:p>
    <w:p w:rsidR="003F20C9" w:rsidRDefault="003F20C9" w:rsidP="005A0E7C">
      <w:pPr>
        <w:autoSpaceDE w:val="0"/>
        <w:autoSpaceDN w:val="0"/>
        <w:adjustRightInd w:val="0"/>
        <w:spacing w:after="0" w:line="240" w:lineRule="auto"/>
        <w:rPr>
          <w:rFonts w:ascii="Arial" w:hAnsi="Arial" w:cs="Arial"/>
          <w:sz w:val="24"/>
          <w:szCs w:val="24"/>
        </w:rPr>
      </w:pPr>
    </w:p>
    <w:p w:rsidR="003F20C9" w:rsidRDefault="003F20C9" w:rsidP="005A0E7C">
      <w:pPr>
        <w:autoSpaceDE w:val="0"/>
        <w:autoSpaceDN w:val="0"/>
        <w:adjustRightInd w:val="0"/>
        <w:spacing w:after="0" w:line="240" w:lineRule="auto"/>
        <w:rPr>
          <w:rFonts w:ascii="Arial" w:hAnsi="Arial" w:cs="Arial"/>
          <w:sz w:val="24"/>
          <w:szCs w:val="24"/>
        </w:rPr>
      </w:pPr>
    </w:p>
    <w:p w:rsidR="00DB0AE0" w:rsidRPr="00132AF8" w:rsidRDefault="00C45810" w:rsidP="005A0E7C">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lastRenderedPageBreak/>
        <w:t>Table 2: NI &amp; NMD</w:t>
      </w:r>
      <w:r w:rsidR="00DB0AE0" w:rsidRPr="00132AF8">
        <w:rPr>
          <w:rFonts w:ascii="Tahoma" w:hAnsi="Tahoma" w:cs="Tahoma"/>
          <w:b/>
          <w:sz w:val="24"/>
          <w:szCs w:val="24"/>
        </w:rPr>
        <w:t xml:space="preserve"> E</w:t>
      </w:r>
      <w:r w:rsidR="00AF0295" w:rsidRPr="00132AF8">
        <w:rPr>
          <w:rFonts w:ascii="Tahoma" w:hAnsi="Tahoma" w:cs="Tahoma"/>
          <w:b/>
          <w:sz w:val="24"/>
          <w:szCs w:val="24"/>
        </w:rPr>
        <w:t xml:space="preserve">conomic Activity Levels </w:t>
      </w:r>
      <w:r w:rsidR="00F76FCE" w:rsidRPr="00132AF8">
        <w:rPr>
          <w:rFonts w:ascii="Tahoma" w:hAnsi="Tahoma" w:cs="Tahoma"/>
          <w:b/>
          <w:sz w:val="24"/>
          <w:szCs w:val="24"/>
        </w:rPr>
        <w:t>– 1981 to 2011</w:t>
      </w:r>
    </w:p>
    <w:p w:rsidR="00DB0AE0" w:rsidRPr="00EE7961" w:rsidRDefault="00DB0AE0" w:rsidP="005A0E7C">
      <w:pPr>
        <w:autoSpaceDE w:val="0"/>
        <w:autoSpaceDN w:val="0"/>
        <w:adjustRightInd w:val="0"/>
        <w:spacing w:after="0" w:line="240" w:lineRule="auto"/>
        <w:rPr>
          <w:rFonts w:ascii="Arial" w:hAnsi="Arial" w:cs="Arial"/>
          <w:sz w:val="24"/>
          <w:szCs w:val="24"/>
        </w:rPr>
      </w:pPr>
    </w:p>
    <w:tbl>
      <w:tblPr>
        <w:tblStyle w:val="TableGrid"/>
        <w:tblW w:w="9748" w:type="dxa"/>
        <w:tblLayout w:type="fixed"/>
        <w:tblLook w:val="04A0" w:firstRow="1" w:lastRow="0" w:firstColumn="1" w:lastColumn="0" w:noHBand="0" w:noVBand="1"/>
      </w:tblPr>
      <w:tblGrid>
        <w:gridCol w:w="959"/>
        <w:gridCol w:w="1276"/>
        <w:gridCol w:w="708"/>
        <w:gridCol w:w="1134"/>
        <w:gridCol w:w="851"/>
        <w:gridCol w:w="1134"/>
        <w:gridCol w:w="992"/>
        <w:gridCol w:w="1347"/>
        <w:gridCol w:w="1347"/>
      </w:tblGrid>
      <w:tr w:rsidR="004A7106" w:rsidRPr="00EE7961" w:rsidTr="00D06F95">
        <w:tc>
          <w:tcPr>
            <w:tcW w:w="959" w:type="dxa"/>
            <w:vMerge w:val="restart"/>
            <w:shd w:val="pct10" w:color="auto" w:fill="auto"/>
          </w:tcPr>
          <w:p w:rsidR="004A7106" w:rsidRPr="00EE7961" w:rsidRDefault="004A7106" w:rsidP="005A0E7C">
            <w:pPr>
              <w:autoSpaceDE w:val="0"/>
              <w:autoSpaceDN w:val="0"/>
              <w:adjustRightInd w:val="0"/>
              <w:rPr>
                <w:rFonts w:ascii="Arial" w:hAnsi="Arial" w:cs="Arial"/>
                <w:b/>
                <w:sz w:val="24"/>
                <w:szCs w:val="24"/>
              </w:rPr>
            </w:pPr>
          </w:p>
        </w:tc>
        <w:tc>
          <w:tcPr>
            <w:tcW w:w="1984" w:type="dxa"/>
            <w:gridSpan w:val="2"/>
            <w:shd w:val="pct10" w:color="auto" w:fill="auto"/>
          </w:tcPr>
          <w:p w:rsidR="004A7106" w:rsidRPr="00CB3099" w:rsidRDefault="004A7106" w:rsidP="00DB0AE0">
            <w:pPr>
              <w:autoSpaceDE w:val="0"/>
              <w:autoSpaceDN w:val="0"/>
              <w:adjustRightInd w:val="0"/>
              <w:jc w:val="center"/>
              <w:rPr>
                <w:rFonts w:ascii="Arial" w:hAnsi="Arial" w:cs="Arial"/>
                <w:b/>
                <w:sz w:val="20"/>
                <w:szCs w:val="20"/>
              </w:rPr>
            </w:pPr>
            <w:r w:rsidRPr="00CB3099">
              <w:rPr>
                <w:rFonts w:ascii="Arial" w:hAnsi="Arial" w:cs="Arial"/>
                <w:b/>
                <w:sz w:val="20"/>
                <w:szCs w:val="20"/>
              </w:rPr>
              <w:t>1981</w:t>
            </w:r>
          </w:p>
        </w:tc>
        <w:tc>
          <w:tcPr>
            <w:tcW w:w="1985" w:type="dxa"/>
            <w:gridSpan w:val="2"/>
            <w:shd w:val="pct10" w:color="auto" w:fill="auto"/>
          </w:tcPr>
          <w:p w:rsidR="004A7106" w:rsidRPr="00CB3099" w:rsidRDefault="004A7106" w:rsidP="00DB0AE0">
            <w:pPr>
              <w:autoSpaceDE w:val="0"/>
              <w:autoSpaceDN w:val="0"/>
              <w:adjustRightInd w:val="0"/>
              <w:jc w:val="center"/>
              <w:rPr>
                <w:rFonts w:ascii="Arial" w:hAnsi="Arial" w:cs="Arial"/>
                <w:b/>
                <w:sz w:val="20"/>
                <w:szCs w:val="20"/>
              </w:rPr>
            </w:pPr>
            <w:r w:rsidRPr="00CB3099">
              <w:rPr>
                <w:rFonts w:ascii="Arial" w:hAnsi="Arial" w:cs="Arial"/>
                <w:b/>
                <w:sz w:val="20"/>
                <w:szCs w:val="20"/>
              </w:rPr>
              <w:t>1991</w:t>
            </w:r>
          </w:p>
        </w:tc>
        <w:tc>
          <w:tcPr>
            <w:tcW w:w="2126" w:type="dxa"/>
            <w:gridSpan w:val="2"/>
            <w:shd w:val="pct10" w:color="auto" w:fill="auto"/>
          </w:tcPr>
          <w:p w:rsidR="004A7106" w:rsidRPr="00CB3099" w:rsidRDefault="004A7106" w:rsidP="00DB0AE0">
            <w:pPr>
              <w:autoSpaceDE w:val="0"/>
              <w:autoSpaceDN w:val="0"/>
              <w:adjustRightInd w:val="0"/>
              <w:jc w:val="center"/>
              <w:rPr>
                <w:rFonts w:ascii="Arial" w:hAnsi="Arial" w:cs="Arial"/>
                <w:b/>
                <w:sz w:val="20"/>
                <w:szCs w:val="20"/>
              </w:rPr>
            </w:pPr>
            <w:r w:rsidRPr="00CB3099">
              <w:rPr>
                <w:rFonts w:ascii="Arial" w:hAnsi="Arial" w:cs="Arial"/>
                <w:b/>
                <w:sz w:val="20"/>
                <w:szCs w:val="20"/>
              </w:rPr>
              <w:t>2001</w:t>
            </w:r>
          </w:p>
        </w:tc>
        <w:tc>
          <w:tcPr>
            <w:tcW w:w="2694" w:type="dxa"/>
            <w:gridSpan w:val="2"/>
            <w:shd w:val="pct10" w:color="auto" w:fill="auto"/>
          </w:tcPr>
          <w:p w:rsidR="004A7106" w:rsidRPr="00CB3099" w:rsidRDefault="004A7106" w:rsidP="00DB0AE0">
            <w:pPr>
              <w:autoSpaceDE w:val="0"/>
              <w:autoSpaceDN w:val="0"/>
              <w:adjustRightInd w:val="0"/>
              <w:jc w:val="center"/>
              <w:rPr>
                <w:rFonts w:ascii="Arial" w:hAnsi="Arial" w:cs="Arial"/>
                <w:b/>
                <w:sz w:val="20"/>
                <w:szCs w:val="20"/>
              </w:rPr>
            </w:pPr>
            <w:r w:rsidRPr="00CB3099">
              <w:rPr>
                <w:rFonts w:ascii="Arial" w:hAnsi="Arial" w:cs="Arial"/>
                <w:b/>
                <w:sz w:val="20"/>
                <w:szCs w:val="20"/>
              </w:rPr>
              <w:t>2011</w:t>
            </w:r>
          </w:p>
        </w:tc>
      </w:tr>
      <w:tr w:rsidR="00D06F95" w:rsidRPr="00EE7961" w:rsidTr="00D06F95">
        <w:tc>
          <w:tcPr>
            <w:tcW w:w="959" w:type="dxa"/>
            <w:vMerge/>
            <w:tcBorders>
              <w:bottom w:val="single" w:sz="4" w:space="0" w:color="auto"/>
            </w:tcBorders>
            <w:shd w:val="pct10" w:color="auto" w:fill="auto"/>
          </w:tcPr>
          <w:p w:rsidR="00D06F95" w:rsidRPr="00EE7961" w:rsidRDefault="00D06F95" w:rsidP="005A0E7C">
            <w:pPr>
              <w:autoSpaceDE w:val="0"/>
              <w:autoSpaceDN w:val="0"/>
              <w:adjustRightInd w:val="0"/>
              <w:rPr>
                <w:rFonts w:ascii="Arial" w:hAnsi="Arial" w:cs="Arial"/>
                <w:b/>
                <w:sz w:val="24"/>
                <w:szCs w:val="24"/>
              </w:rPr>
            </w:pPr>
          </w:p>
        </w:tc>
        <w:tc>
          <w:tcPr>
            <w:tcW w:w="1276" w:type="dxa"/>
            <w:shd w:val="pct10" w:color="auto" w:fill="auto"/>
          </w:tcPr>
          <w:p w:rsidR="00D06F95" w:rsidRPr="00CB3099" w:rsidRDefault="00D06F95" w:rsidP="00DB0AE0">
            <w:pPr>
              <w:autoSpaceDE w:val="0"/>
              <w:autoSpaceDN w:val="0"/>
              <w:adjustRightInd w:val="0"/>
              <w:jc w:val="center"/>
              <w:rPr>
                <w:rFonts w:ascii="Arial" w:hAnsi="Arial" w:cs="Arial"/>
                <w:b/>
                <w:sz w:val="20"/>
                <w:szCs w:val="20"/>
              </w:rPr>
            </w:pPr>
            <w:r w:rsidRPr="00CB3099">
              <w:rPr>
                <w:rFonts w:ascii="Arial" w:hAnsi="Arial" w:cs="Arial"/>
                <w:b/>
                <w:sz w:val="20"/>
                <w:szCs w:val="20"/>
              </w:rPr>
              <w:t>Number</w:t>
            </w:r>
          </w:p>
        </w:tc>
        <w:tc>
          <w:tcPr>
            <w:tcW w:w="708" w:type="dxa"/>
            <w:shd w:val="pct10" w:color="auto" w:fill="auto"/>
          </w:tcPr>
          <w:p w:rsidR="00D06F95" w:rsidRPr="00CB3099" w:rsidRDefault="00D06F95" w:rsidP="00DB0AE0">
            <w:pPr>
              <w:autoSpaceDE w:val="0"/>
              <w:autoSpaceDN w:val="0"/>
              <w:adjustRightInd w:val="0"/>
              <w:jc w:val="center"/>
              <w:rPr>
                <w:rFonts w:ascii="Arial" w:hAnsi="Arial" w:cs="Arial"/>
                <w:b/>
                <w:sz w:val="20"/>
                <w:szCs w:val="20"/>
              </w:rPr>
            </w:pPr>
            <w:r w:rsidRPr="00CB3099">
              <w:rPr>
                <w:rFonts w:ascii="Arial" w:hAnsi="Arial" w:cs="Arial"/>
                <w:b/>
                <w:sz w:val="20"/>
                <w:szCs w:val="20"/>
              </w:rPr>
              <w:t>(%)</w:t>
            </w:r>
          </w:p>
        </w:tc>
        <w:tc>
          <w:tcPr>
            <w:tcW w:w="1134" w:type="dxa"/>
            <w:shd w:val="pct10" w:color="auto" w:fill="auto"/>
          </w:tcPr>
          <w:p w:rsidR="00D06F95" w:rsidRPr="00CB3099" w:rsidRDefault="00D06F95" w:rsidP="00DB0AE0">
            <w:pPr>
              <w:autoSpaceDE w:val="0"/>
              <w:autoSpaceDN w:val="0"/>
              <w:adjustRightInd w:val="0"/>
              <w:jc w:val="center"/>
              <w:rPr>
                <w:rFonts w:ascii="Arial" w:hAnsi="Arial" w:cs="Arial"/>
                <w:b/>
                <w:sz w:val="20"/>
                <w:szCs w:val="20"/>
              </w:rPr>
            </w:pPr>
            <w:r w:rsidRPr="00CB3099">
              <w:rPr>
                <w:rFonts w:ascii="Arial" w:hAnsi="Arial" w:cs="Arial"/>
                <w:b/>
                <w:sz w:val="20"/>
                <w:szCs w:val="20"/>
              </w:rPr>
              <w:t>Number</w:t>
            </w:r>
          </w:p>
        </w:tc>
        <w:tc>
          <w:tcPr>
            <w:tcW w:w="851" w:type="dxa"/>
            <w:shd w:val="pct10" w:color="auto" w:fill="auto"/>
          </w:tcPr>
          <w:p w:rsidR="00D06F95" w:rsidRPr="00CB3099" w:rsidRDefault="00D06F95" w:rsidP="00483D62">
            <w:pPr>
              <w:autoSpaceDE w:val="0"/>
              <w:autoSpaceDN w:val="0"/>
              <w:adjustRightInd w:val="0"/>
              <w:jc w:val="center"/>
              <w:rPr>
                <w:rFonts w:ascii="Arial" w:hAnsi="Arial" w:cs="Arial"/>
                <w:b/>
                <w:sz w:val="20"/>
                <w:szCs w:val="20"/>
              </w:rPr>
            </w:pPr>
            <w:r w:rsidRPr="00CB3099">
              <w:rPr>
                <w:rFonts w:ascii="Arial" w:hAnsi="Arial" w:cs="Arial"/>
                <w:b/>
                <w:sz w:val="20"/>
                <w:szCs w:val="20"/>
              </w:rPr>
              <w:t>(%)</w:t>
            </w:r>
          </w:p>
        </w:tc>
        <w:tc>
          <w:tcPr>
            <w:tcW w:w="1134" w:type="dxa"/>
            <w:shd w:val="pct10" w:color="auto" w:fill="auto"/>
          </w:tcPr>
          <w:p w:rsidR="00D06F95" w:rsidRPr="00CB3099" w:rsidRDefault="00D02A5B" w:rsidP="00DB0AE0">
            <w:pPr>
              <w:autoSpaceDE w:val="0"/>
              <w:autoSpaceDN w:val="0"/>
              <w:adjustRightInd w:val="0"/>
              <w:jc w:val="center"/>
              <w:rPr>
                <w:rFonts w:ascii="Arial" w:hAnsi="Arial" w:cs="Arial"/>
                <w:b/>
                <w:sz w:val="20"/>
                <w:szCs w:val="20"/>
              </w:rPr>
            </w:pPr>
            <w:r w:rsidRPr="00CB3099">
              <w:rPr>
                <w:rFonts w:ascii="Arial" w:hAnsi="Arial" w:cs="Arial"/>
                <w:b/>
                <w:sz w:val="20"/>
                <w:szCs w:val="20"/>
              </w:rPr>
              <w:t>Number</w:t>
            </w:r>
          </w:p>
        </w:tc>
        <w:tc>
          <w:tcPr>
            <w:tcW w:w="992" w:type="dxa"/>
            <w:shd w:val="pct10" w:color="auto" w:fill="auto"/>
          </w:tcPr>
          <w:p w:rsidR="00D06F95" w:rsidRPr="00CB3099" w:rsidRDefault="00D06F95" w:rsidP="00483D62">
            <w:pPr>
              <w:autoSpaceDE w:val="0"/>
              <w:autoSpaceDN w:val="0"/>
              <w:adjustRightInd w:val="0"/>
              <w:jc w:val="center"/>
              <w:rPr>
                <w:rFonts w:ascii="Arial" w:hAnsi="Arial" w:cs="Arial"/>
                <w:b/>
                <w:sz w:val="20"/>
                <w:szCs w:val="20"/>
              </w:rPr>
            </w:pPr>
            <w:r w:rsidRPr="00CB3099">
              <w:rPr>
                <w:rFonts w:ascii="Arial" w:hAnsi="Arial" w:cs="Arial"/>
                <w:b/>
                <w:sz w:val="20"/>
                <w:szCs w:val="20"/>
              </w:rPr>
              <w:t>(%)</w:t>
            </w:r>
          </w:p>
        </w:tc>
        <w:tc>
          <w:tcPr>
            <w:tcW w:w="1347" w:type="dxa"/>
            <w:shd w:val="pct10" w:color="auto" w:fill="auto"/>
          </w:tcPr>
          <w:p w:rsidR="00D06F95" w:rsidRPr="00CB3099" w:rsidRDefault="00D02A5B" w:rsidP="00DB0AE0">
            <w:pPr>
              <w:autoSpaceDE w:val="0"/>
              <w:autoSpaceDN w:val="0"/>
              <w:adjustRightInd w:val="0"/>
              <w:jc w:val="center"/>
              <w:rPr>
                <w:rFonts w:ascii="Arial" w:hAnsi="Arial" w:cs="Arial"/>
                <w:b/>
                <w:sz w:val="20"/>
                <w:szCs w:val="20"/>
              </w:rPr>
            </w:pPr>
            <w:r w:rsidRPr="00CB3099">
              <w:rPr>
                <w:rFonts w:ascii="Arial" w:hAnsi="Arial" w:cs="Arial"/>
                <w:b/>
                <w:sz w:val="20"/>
                <w:szCs w:val="20"/>
              </w:rPr>
              <w:t>Number</w:t>
            </w:r>
          </w:p>
        </w:tc>
        <w:tc>
          <w:tcPr>
            <w:tcW w:w="1347" w:type="dxa"/>
            <w:shd w:val="pct10" w:color="auto" w:fill="auto"/>
          </w:tcPr>
          <w:p w:rsidR="00D06F95" w:rsidRPr="00CB3099" w:rsidRDefault="00D06F95" w:rsidP="00483D62">
            <w:pPr>
              <w:autoSpaceDE w:val="0"/>
              <w:autoSpaceDN w:val="0"/>
              <w:adjustRightInd w:val="0"/>
              <w:jc w:val="center"/>
              <w:rPr>
                <w:rFonts w:ascii="Arial" w:hAnsi="Arial" w:cs="Arial"/>
                <w:b/>
                <w:sz w:val="20"/>
                <w:szCs w:val="20"/>
              </w:rPr>
            </w:pPr>
            <w:r w:rsidRPr="00CB3099">
              <w:rPr>
                <w:rFonts w:ascii="Arial" w:hAnsi="Arial" w:cs="Arial"/>
                <w:b/>
                <w:sz w:val="20"/>
                <w:szCs w:val="20"/>
              </w:rPr>
              <w:t>(%)</w:t>
            </w:r>
          </w:p>
        </w:tc>
      </w:tr>
      <w:tr w:rsidR="00D06F95" w:rsidRPr="00EE7961" w:rsidTr="00D06F95">
        <w:tc>
          <w:tcPr>
            <w:tcW w:w="959" w:type="dxa"/>
            <w:shd w:val="pct10" w:color="auto" w:fill="auto"/>
          </w:tcPr>
          <w:p w:rsidR="00D06F95" w:rsidRPr="00CB3099" w:rsidRDefault="00D06F95" w:rsidP="005A0E7C">
            <w:pPr>
              <w:autoSpaceDE w:val="0"/>
              <w:autoSpaceDN w:val="0"/>
              <w:adjustRightInd w:val="0"/>
              <w:rPr>
                <w:rFonts w:ascii="Arial" w:hAnsi="Arial" w:cs="Arial"/>
                <w:b/>
                <w:sz w:val="20"/>
                <w:szCs w:val="20"/>
              </w:rPr>
            </w:pPr>
            <w:r w:rsidRPr="00CB3099">
              <w:rPr>
                <w:rFonts w:ascii="Arial" w:hAnsi="Arial" w:cs="Arial"/>
                <w:b/>
                <w:sz w:val="20"/>
                <w:szCs w:val="20"/>
              </w:rPr>
              <w:t>NI</w:t>
            </w:r>
          </w:p>
        </w:tc>
        <w:tc>
          <w:tcPr>
            <w:tcW w:w="1276" w:type="dxa"/>
          </w:tcPr>
          <w:p w:rsidR="00D06F95" w:rsidRPr="00CB3099" w:rsidRDefault="00D06F95" w:rsidP="000A6DE5">
            <w:pPr>
              <w:autoSpaceDE w:val="0"/>
              <w:autoSpaceDN w:val="0"/>
              <w:adjustRightInd w:val="0"/>
              <w:jc w:val="center"/>
              <w:rPr>
                <w:rFonts w:ascii="Arial" w:hAnsi="Arial" w:cs="Arial"/>
                <w:sz w:val="20"/>
                <w:szCs w:val="20"/>
              </w:rPr>
            </w:pPr>
            <w:r w:rsidRPr="00CB3099">
              <w:rPr>
                <w:rFonts w:ascii="Arial" w:hAnsi="Arial" w:cs="Arial"/>
                <w:sz w:val="20"/>
                <w:szCs w:val="20"/>
              </w:rPr>
              <w:t>629,759</w:t>
            </w:r>
          </w:p>
        </w:tc>
        <w:tc>
          <w:tcPr>
            <w:tcW w:w="708" w:type="dxa"/>
          </w:tcPr>
          <w:p w:rsidR="00D06F95" w:rsidRPr="00CB3099" w:rsidRDefault="00D06F95" w:rsidP="00C470E6">
            <w:pPr>
              <w:autoSpaceDE w:val="0"/>
              <w:autoSpaceDN w:val="0"/>
              <w:adjustRightInd w:val="0"/>
              <w:jc w:val="center"/>
              <w:rPr>
                <w:rFonts w:ascii="Arial" w:hAnsi="Arial" w:cs="Arial"/>
                <w:sz w:val="20"/>
                <w:szCs w:val="20"/>
              </w:rPr>
            </w:pPr>
            <w:r w:rsidRPr="00CB3099">
              <w:rPr>
                <w:rFonts w:ascii="Arial" w:hAnsi="Arial" w:cs="Arial"/>
                <w:sz w:val="20"/>
                <w:szCs w:val="20"/>
              </w:rPr>
              <w:t>59</w:t>
            </w:r>
          </w:p>
        </w:tc>
        <w:tc>
          <w:tcPr>
            <w:tcW w:w="1134" w:type="dxa"/>
          </w:tcPr>
          <w:p w:rsidR="00D06F95" w:rsidRPr="00CB3099" w:rsidRDefault="00D06F95" w:rsidP="000A6DE5">
            <w:pPr>
              <w:autoSpaceDE w:val="0"/>
              <w:autoSpaceDN w:val="0"/>
              <w:adjustRightInd w:val="0"/>
              <w:jc w:val="center"/>
              <w:rPr>
                <w:rFonts w:ascii="Arial" w:hAnsi="Arial" w:cs="Arial"/>
                <w:sz w:val="20"/>
                <w:szCs w:val="20"/>
              </w:rPr>
            </w:pPr>
            <w:r w:rsidRPr="00CB3099">
              <w:rPr>
                <w:rFonts w:ascii="Arial" w:hAnsi="Arial" w:cs="Arial"/>
                <w:sz w:val="20"/>
                <w:szCs w:val="20"/>
              </w:rPr>
              <w:t>682,020</w:t>
            </w:r>
          </w:p>
        </w:tc>
        <w:tc>
          <w:tcPr>
            <w:tcW w:w="851" w:type="dxa"/>
          </w:tcPr>
          <w:p w:rsidR="00D06F95" w:rsidRPr="00CB3099" w:rsidRDefault="00D06F95" w:rsidP="00483D62">
            <w:pPr>
              <w:autoSpaceDE w:val="0"/>
              <w:autoSpaceDN w:val="0"/>
              <w:adjustRightInd w:val="0"/>
              <w:jc w:val="center"/>
              <w:rPr>
                <w:rFonts w:ascii="Arial" w:hAnsi="Arial" w:cs="Arial"/>
                <w:sz w:val="20"/>
                <w:szCs w:val="20"/>
              </w:rPr>
            </w:pPr>
            <w:r w:rsidRPr="00CB3099">
              <w:rPr>
                <w:rFonts w:ascii="Arial" w:hAnsi="Arial" w:cs="Arial"/>
                <w:sz w:val="20"/>
                <w:szCs w:val="20"/>
              </w:rPr>
              <w:t>58</w:t>
            </w:r>
          </w:p>
        </w:tc>
        <w:tc>
          <w:tcPr>
            <w:tcW w:w="1134" w:type="dxa"/>
            <w:vAlign w:val="bottom"/>
          </w:tcPr>
          <w:p w:rsidR="00D06F95" w:rsidRPr="00CB3099" w:rsidRDefault="00D06F95" w:rsidP="009F2D74">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739,134</w:t>
            </w:r>
          </w:p>
        </w:tc>
        <w:tc>
          <w:tcPr>
            <w:tcW w:w="992" w:type="dxa"/>
            <w:vAlign w:val="bottom"/>
          </w:tcPr>
          <w:p w:rsidR="00D06F95" w:rsidRPr="00CB3099" w:rsidRDefault="00D06F95" w:rsidP="00483D62">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62</w:t>
            </w:r>
          </w:p>
        </w:tc>
        <w:tc>
          <w:tcPr>
            <w:tcW w:w="1347" w:type="dxa"/>
          </w:tcPr>
          <w:p w:rsidR="00D06F95" w:rsidRPr="00CB3099" w:rsidRDefault="00BA7887" w:rsidP="00DB0AE0">
            <w:pPr>
              <w:autoSpaceDE w:val="0"/>
              <w:autoSpaceDN w:val="0"/>
              <w:adjustRightInd w:val="0"/>
              <w:jc w:val="center"/>
              <w:rPr>
                <w:rFonts w:ascii="Arial" w:hAnsi="Arial" w:cs="Arial"/>
                <w:sz w:val="20"/>
                <w:szCs w:val="20"/>
              </w:rPr>
            </w:pPr>
            <w:r w:rsidRPr="00CB3099">
              <w:rPr>
                <w:rFonts w:ascii="Arial" w:hAnsi="Arial" w:cs="Arial"/>
                <w:sz w:val="20"/>
                <w:szCs w:val="20"/>
              </w:rPr>
              <w:t>869,767</w:t>
            </w:r>
          </w:p>
        </w:tc>
        <w:tc>
          <w:tcPr>
            <w:tcW w:w="1347" w:type="dxa"/>
          </w:tcPr>
          <w:p w:rsidR="00D06F95" w:rsidRPr="00CB3099" w:rsidRDefault="00D06F95" w:rsidP="00483D62">
            <w:pPr>
              <w:autoSpaceDE w:val="0"/>
              <w:autoSpaceDN w:val="0"/>
              <w:adjustRightInd w:val="0"/>
              <w:jc w:val="center"/>
              <w:rPr>
                <w:rFonts w:ascii="Arial" w:hAnsi="Arial" w:cs="Arial"/>
                <w:sz w:val="20"/>
                <w:szCs w:val="20"/>
              </w:rPr>
            </w:pPr>
            <w:r w:rsidRPr="00CB3099">
              <w:rPr>
                <w:rFonts w:ascii="Arial" w:eastAsia="Times New Roman" w:hAnsi="Arial" w:cs="Arial"/>
                <w:sz w:val="20"/>
                <w:szCs w:val="20"/>
                <w:lang w:eastAsia="en-GB"/>
              </w:rPr>
              <w:t>66.22</w:t>
            </w:r>
          </w:p>
        </w:tc>
      </w:tr>
      <w:tr w:rsidR="00D06F95" w:rsidRPr="00EE7961" w:rsidTr="00D06F95">
        <w:tc>
          <w:tcPr>
            <w:tcW w:w="959" w:type="dxa"/>
            <w:shd w:val="pct10" w:color="auto" w:fill="auto"/>
          </w:tcPr>
          <w:p w:rsidR="00D06F95" w:rsidRPr="00CB3099" w:rsidRDefault="00D06F95" w:rsidP="005A0E7C">
            <w:pPr>
              <w:autoSpaceDE w:val="0"/>
              <w:autoSpaceDN w:val="0"/>
              <w:adjustRightInd w:val="0"/>
              <w:rPr>
                <w:rFonts w:ascii="Arial" w:hAnsi="Arial" w:cs="Arial"/>
                <w:b/>
                <w:sz w:val="20"/>
                <w:szCs w:val="20"/>
              </w:rPr>
            </w:pPr>
            <w:r w:rsidRPr="00CB3099">
              <w:rPr>
                <w:rFonts w:ascii="Arial" w:hAnsi="Arial" w:cs="Arial"/>
                <w:b/>
                <w:sz w:val="20"/>
                <w:szCs w:val="20"/>
              </w:rPr>
              <w:t>NM</w:t>
            </w:r>
            <w:r w:rsidR="00275CDE" w:rsidRPr="00CB3099">
              <w:rPr>
                <w:rFonts w:ascii="Arial" w:hAnsi="Arial" w:cs="Arial"/>
                <w:b/>
                <w:sz w:val="20"/>
                <w:szCs w:val="20"/>
              </w:rPr>
              <w:t>D</w:t>
            </w:r>
            <w:r w:rsidRPr="00CB3099">
              <w:rPr>
                <w:rFonts w:ascii="Arial" w:hAnsi="Arial" w:cs="Arial"/>
                <w:b/>
                <w:sz w:val="20"/>
                <w:szCs w:val="20"/>
              </w:rPr>
              <w:t>C</w:t>
            </w:r>
          </w:p>
        </w:tc>
        <w:tc>
          <w:tcPr>
            <w:tcW w:w="1276" w:type="dxa"/>
          </w:tcPr>
          <w:p w:rsidR="00D06F95" w:rsidRPr="00CB3099" w:rsidRDefault="00D06F95" w:rsidP="000A6DE5">
            <w:pPr>
              <w:autoSpaceDE w:val="0"/>
              <w:autoSpaceDN w:val="0"/>
              <w:adjustRightInd w:val="0"/>
              <w:jc w:val="center"/>
              <w:rPr>
                <w:rFonts w:ascii="Arial" w:hAnsi="Arial" w:cs="Arial"/>
                <w:sz w:val="20"/>
                <w:szCs w:val="20"/>
              </w:rPr>
            </w:pPr>
            <w:r w:rsidRPr="00CB3099">
              <w:rPr>
                <w:rFonts w:ascii="Arial" w:hAnsi="Arial" w:cs="Arial"/>
                <w:sz w:val="20"/>
                <w:szCs w:val="20"/>
              </w:rPr>
              <w:t>26,859</w:t>
            </w:r>
          </w:p>
        </w:tc>
        <w:tc>
          <w:tcPr>
            <w:tcW w:w="708" w:type="dxa"/>
          </w:tcPr>
          <w:p w:rsidR="00D06F95" w:rsidRPr="00CB3099" w:rsidRDefault="00D06F95" w:rsidP="00C470E6">
            <w:pPr>
              <w:autoSpaceDE w:val="0"/>
              <w:autoSpaceDN w:val="0"/>
              <w:adjustRightInd w:val="0"/>
              <w:jc w:val="center"/>
              <w:rPr>
                <w:rFonts w:ascii="Arial" w:hAnsi="Arial" w:cs="Arial"/>
                <w:sz w:val="20"/>
                <w:szCs w:val="20"/>
              </w:rPr>
            </w:pPr>
            <w:r w:rsidRPr="00CB3099">
              <w:rPr>
                <w:rFonts w:ascii="Arial" w:hAnsi="Arial" w:cs="Arial"/>
                <w:sz w:val="20"/>
                <w:szCs w:val="20"/>
              </w:rPr>
              <w:t>55</w:t>
            </w:r>
          </w:p>
        </w:tc>
        <w:tc>
          <w:tcPr>
            <w:tcW w:w="1134" w:type="dxa"/>
          </w:tcPr>
          <w:p w:rsidR="00D06F95" w:rsidRPr="00CB3099" w:rsidRDefault="00D06F95" w:rsidP="000A6DE5">
            <w:pPr>
              <w:autoSpaceDE w:val="0"/>
              <w:autoSpaceDN w:val="0"/>
              <w:adjustRightInd w:val="0"/>
              <w:jc w:val="center"/>
              <w:rPr>
                <w:rFonts w:ascii="Arial" w:hAnsi="Arial" w:cs="Arial"/>
                <w:sz w:val="20"/>
                <w:szCs w:val="20"/>
              </w:rPr>
            </w:pPr>
            <w:r w:rsidRPr="00CB3099">
              <w:rPr>
                <w:rFonts w:ascii="Arial" w:hAnsi="Arial" w:cs="Arial"/>
                <w:sz w:val="20"/>
                <w:szCs w:val="20"/>
              </w:rPr>
              <w:t>32,766</w:t>
            </w:r>
          </w:p>
        </w:tc>
        <w:tc>
          <w:tcPr>
            <w:tcW w:w="851" w:type="dxa"/>
          </w:tcPr>
          <w:p w:rsidR="00D06F95" w:rsidRPr="00CB3099" w:rsidRDefault="00D06F95" w:rsidP="00483D62">
            <w:pPr>
              <w:autoSpaceDE w:val="0"/>
              <w:autoSpaceDN w:val="0"/>
              <w:adjustRightInd w:val="0"/>
              <w:jc w:val="center"/>
              <w:rPr>
                <w:rFonts w:ascii="Arial" w:hAnsi="Arial" w:cs="Arial"/>
                <w:sz w:val="20"/>
                <w:szCs w:val="20"/>
              </w:rPr>
            </w:pPr>
            <w:r w:rsidRPr="00CB3099">
              <w:rPr>
                <w:rFonts w:ascii="Arial" w:hAnsi="Arial" w:cs="Arial"/>
                <w:sz w:val="20"/>
                <w:szCs w:val="20"/>
              </w:rPr>
              <w:t>56</w:t>
            </w:r>
          </w:p>
        </w:tc>
        <w:tc>
          <w:tcPr>
            <w:tcW w:w="1134" w:type="dxa"/>
            <w:vAlign w:val="bottom"/>
          </w:tcPr>
          <w:p w:rsidR="00D06F95" w:rsidRPr="00CB3099" w:rsidRDefault="00D06F95" w:rsidP="009F2D74">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34,826</w:t>
            </w:r>
          </w:p>
        </w:tc>
        <w:tc>
          <w:tcPr>
            <w:tcW w:w="992" w:type="dxa"/>
            <w:vAlign w:val="bottom"/>
          </w:tcPr>
          <w:p w:rsidR="00D06F95" w:rsidRPr="00CB3099" w:rsidRDefault="00D06F95" w:rsidP="00483D62">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58</w:t>
            </w:r>
          </w:p>
        </w:tc>
        <w:tc>
          <w:tcPr>
            <w:tcW w:w="1347" w:type="dxa"/>
          </w:tcPr>
          <w:p w:rsidR="00D06F95" w:rsidRPr="00CB3099" w:rsidRDefault="00784318" w:rsidP="00DB0AE0">
            <w:pPr>
              <w:autoSpaceDE w:val="0"/>
              <w:autoSpaceDN w:val="0"/>
              <w:adjustRightInd w:val="0"/>
              <w:jc w:val="center"/>
              <w:rPr>
                <w:rFonts w:ascii="Arial" w:hAnsi="Arial" w:cs="Arial"/>
                <w:sz w:val="20"/>
                <w:szCs w:val="20"/>
              </w:rPr>
            </w:pPr>
            <w:r w:rsidRPr="00CB3099">
              <w:rPr>
                <w:rFonts w:ascii="Arial" w:hAnsi="Arial" w:cs="Arial"/>
                <w:sz w:val="20"/>
                <w:szCs w:val="20"/>
              </w:rPr>
              <w:t>46,207</w:t>
            </w:r>
          </w:p>
        </w:tc>
        <w:tc>
          <w:tcPr>
            <w:tcW w:w="1347" w:type="dxa"/>
          </w:tcPr>
          <w:p w:rsidR="00D06F95" w:rsidRPr="00CB3099" w:rsidRDefault="00784318" w:rsidP="00483D62">
            <w:pPr>
              <w:autoSpaceDE w:val="0"/>
              <w:autoSpaceDN w:val="0"/>
              <w:adjustRightInd w:val="0"/>
              <w:jc w:val="center"/>
              <w:rPr>
                <w:rFonts w:ascii="Arial" w:hAnsi="Arial" w:cs="Arial"/>
                <w:sz w:val="20"/>
                <w:szCs w:val="20"/>
              </w:rPr>
            </w:pPr>
            <w:r w:rsidRPr="00CB3099">
              <w:rPr>
                <w:rFonts w:ascii="Arial" w:hAnsi="Arial" w:cs="Arial"/>
                <w:sz w:val="20"/>
                <w:szCs w:val="20"/>
              </w:rPr>
              <w:t>65.49</w:t>
            </w:r>
          </w:p>
        </w:tc>
      </w:tr>
      <w:tr w:rsidR="00D06F95" w:rsidRPr="00EE7961" w:rsidTr="00D06F95">
        <w:tc>
          <w:tcPr>
            <w:tcW w:w="959" w:type="dxa"/>
            <w:shd w:val="pct10" w:color="auto" w:fill="auto"/>
          </w:tcPr>
          <w:p w:rsidR="00D06F95" w:rsidRPr="00CB3099" w:rsidRDefault="00D06F95" w:rsidP="005A0E7C">
            <w:pPr>
              <w:autoSpaceDE w:val="0"/>
              <w:autoSpaceDN w:val="0"/>
              <w:adjustRightInd w:val="0"/>
              <w:rPr>
                <w:rFonts w:ascii="Arial" w:hAnsi="Arial" w:cs="Arial"/>
                <w:b/>
                <w:sz w:val="20"/>
                <w:szCs w:val="20"/>
              </w:rPr>
            </w:pPr>
            <w:r w:rsidRPr="00CB3099">
              <w:rPr>
                <w:rFonts w:ascii="Arial" w:hAnsi="Arial" w:cs="Arial"/>
                <w:b/>
                <w:sz w:val="20"/>
                <w:szCs w:val="20"/>
              </w:rPr>
              <w:t>DDC</w:t>
            </w:r>
          </w:p>
        </w:tc>
        <w:tc>
          <w:tcPr>
            <w:tcW w:w="1276" w:type="dxa"/>
          </w:tcPr>
          <w:p w:rsidR="00D06F95" w:rsidRPr="00CB3099" w:rsidRDefault="00C42456" w:rsidP="000A6DE5">
            <w:pPr>
              <w:autoSpaceDE w:val="0"/>
              <w:autoSpaceDN w:val="0"/>
              <w:adjustRightInd w:val="0"/>
              <w:jc w:val="center"/>
              <w:rPr>
                <w:rFonts w:ascii="Arial" w:hAnsi="Arial" w:cs="Arial"/>
                <w:sz w:val="20"/>
                <w:szCs w:val="20"/>
              </w:rPr>
            </w:pPr>
            <w:r w:rsidRPr="00CB3099">
              <w:rPr>
                <w:rFonts w:ascii="Arial" w:hAnsi="Arial" w:cs="Arial"/>
                <w:sz w:val="20"/>
                <w:szCs w:val="20"/>
              </w:rPr>
              <w:t>21,858</w:t>
            </w:r>
          </w:p>
        </w:tc>
        <w:tc>
          <w:tcPr>
            <w:tcW w:w="708" w:type="dxa"/>
          </w:tcPr>
          <w:p w:rsidR="00D06F95" w:rsidRPr="00CB3099" w:rsidRDefault="0013619C" w:rsidP="00C470E6">
            <w:pPr>
              <w:autoSpaceDE w:val="0"/>
              <w:autoSpaceDN w:val="0"/>
              <w:adjustRightInd w:val="0"/>
              <w:jc w:val="center"/>
              <w:rPr>
                <w:rFonts w:ascii="Arial" w:hAnsi="Arial" w:cs="Arial"/>
                <w:sz w:val="20"/>
                <w:szCs w:val="20"/>
              </w:rPr>
            </w:pPr>
            <w:r w:rsidRPr="00CB3099">
              <w:rPr>
                <w:rFonts w:ascii="Arial" w:hAnsi="Arial" w:cs="Arial"/>
                <w:sz w:val="20"/>
                <w:szCs w:val="20"/>
              </w:rPr>
              <w:t>59</w:t>
            </w:r>
          </w:p>
        </w:tc>
        <w:tc>
          <w:tcPr>
            <w:tcW w:w="1134" w:type="dxa"/>
          </w:tcPr>
          <w:p w:rsidR="00D06F95" w:rsidRPr="00CB3099" w:rsidRDefault="00A673FA" w:rsidP="000A6DE5">
            <w:pPr>
              <w:autoSpaceDE w:val="0"/>
              <w:autoSpaceDN w:val="0"/>
              <w:adjustRightInd w:val="0"/>
              <w:jc w:val="center"/>
              <w:rPr>
                <w:rFonts w:ascii="Arial" w:hAnsi="Arial" w:cs="Arial"/>
                <w:sz w:val="20"/>
                <w:szCs w:val="20"/>
              </w:rPr>
            </w:pPr>
            <w:r w:rsidRPr="00CB3099">
              <w:rPr>
                <w:rFonts w:ascii="Arial" w:hAnsi="Arial" w:cs="Arial"/>
                <w:sz w:val="20"/>
                <w:szCs w:val="20"/>
              </w:rPr>
              <w:t>24,888</w:t>
            </w:r>
          </w:p>
        </w:tc>
        <w:tc>
          <w:tcPr>
            <w:tcW w:w="851" w:type="dxa"/>
          </w:tcPr>
          <w:p w:rsidR="00D06F95" w:rsidRPr="00CB3099" w:rsidRDefault="0013619C" w:rsidP="00483D62">
            <w:pPr>
              <w:autoSpaceDE w:val="0"/>
              <w:autoSpaceDN w:val="0"/>
              <w:adjustRightInd w:val="0"/>
              <w:jc w:val="center"/>
              <w:rPr>
                <w:rFonts w:ascii="Arial" w:hAnsi="Arial" w:cs="Arial"/>
                <w:sz w:val="20"/>
                <w:szCs w:val="20"/>
              </w:rPr>
            </w:pPr>
            <w:r w:rsidRPr="00CB3099">
              <w:rPr>
                <w:rFonts w:ascii="Arial" w:hAnsi="Arial" w:cs="Arial"/>
                <w:sz w:val="20"/>
                <w:szCs w:val="20"/>
              </w:rPr>
              <w:t>59</w:t>
            </w:r>
          </w:p>
        </w:tc>
        <w:tc>
          <w:tcPr>
            <w:tcW w:w="1134" w:type="dxa"/>
            <w:vAlign w:val="bottom"/>
          </w:tcPr>
          <w:p w:rsidR="00D06F95" w:rsidRPr="00CB3099" w:rsidRDefault="00D02A5B" w:rsidP="009F2D74">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28,630</w:t>
            </w:r>
          </w:p>
        </w:tc>
        <w:tc>
          <w:tcPr>
            <w:tcW w:w="992" w:type="dxa"/>
            <w:vAlign w:val="bottom"/>
          </w:tcPr>
          <w:p w:rsidR="00D06F95" w:rsidRPr="00CB3099" w:rsidRDefault="00A673FA" w:rsidP="00483D62">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64.71</w:t>
            </w:r>
          </w:p>
        </w:tc>
        <w:tc>
          <w:tcPr>
            <w:tcW w:w="1347" w:type="dxa"/>
          </w:tcPr>
          <w:p w:rsidR="00D06F95" w:rsidRPr="00CB3099" w:rsidRDefault="00784318" w:rsidP="00DB0AE0">
            <w:pPr>
              <w:autoSpaceDE w:val="0"/>
              <w:autoSpaceDN w:val="0"/>
              <w:adjustRightInd w:val="0"/>
              <w:jc w:val="center"/>
              <w:rPr>
                <w:rFonts w:ascii="Arial" w:hAnsi="Arial" w:cs="Arial"/>
                <w:sz w:val="20"/>
                <w:szCs w:val="20"/>
              </w:rPr>
            </w:pPr>
            <w:r w:rsidRPr="00CB3099">
              <w:rPr>
                <w:rFonts w:ascii="Arial" w:hAnsi="Arial" w:cs="Arial"/>
                <w:sz w:val="20"/>
                <w:szCs w:val="20"/>
              </w:rPr>
              <w:t>33,648</w:t>
            </w:r>
          </w:p>
        </w:tc>
        <w:tc>
          <w:tcPr>
            <w:tcW w:w="1347" w:type="dxa"/>
          </w:tcPr>
          <w:p w:rsidR="00D06F95" w:rsidRPr="00CB3099" w:rsidRDefault="00D06F95" w:rsidP="00483D62">
            <w:pPr>
              <w:autoSpaceDE w:val="0"/>
              <w:autoSpaceDN w:val="0"/>
              <w:adjustRightInd w:val="0"/>
              <w:jc w:val="center"/>
              <w:rPr>
                <w:rFonts w:ascii="Arial" w:hAnsi="Arial" w:cs="Arial"/>
                <w:sz w:val="20"/>
                <w:szCs w:val="20"/>
              </w:rPr>
            </w:pPr>
            <w:r w:rsidRPr="00CB3099">
              <w:rPr>
                <w:rFonts w:ascii="Arial" w:hAnsi="Arial" w:cs="Arial"/>
                <w:sz w:val="20"/>
                <w:szCs w:val="20"/>
              </w:rPr>
              <w:t>67.11</w:t>
            </w:r>
          </w:p>
        </w:tc>
      </w:tr>
      <w:tr w:rsidR="008E0010" w:rsidRPr="00EE7961" w:rsidTr="00D06F95">
        <w:tc>
          <w:tcPr>
            <w:tcW w:w="959" w:type="dxa"/>
            <w:shd w:val="pct10" w:color="auto" w:fill="auto"/>
          </w:tcPr>
          <w:p w:rsidR="008E0010" w:rsidRPr="00CB3099" w:rsidRDefault="008E0010" w:rsidP="005A0E7C">
            <w:pPr>
              <w:autoSpaceDE w:val="0"/>
              <w:autoSpaceDN w:val="0"/>
              <w:adjustRightInd w:val="0"/>
              <w:rPr>
                <w:rFonts w:ascii="Arial" w:hAnsi="Arial" w:cs="Arial"/>
                <w:b/>
                <w:sz w:val="20"/>
                <w:szCs w:val="20"/>
              </w:rPr>
            </w:pPr>
            <w:r w:rsidRPr="00CB3099">
              <w:rPr>
                <w:rFonts w:ascii="Arial" w:hAnsi="Arial" w:cs="Arial"/>
                <w:b/>
                <w:sz w:val="20"/>
                <w:szCs w:val="20"/>
              </w:rPr>
              <w:t>NMD</w:t>
            </w:r>
            <w:r w:rsidR="00E471AD">
              <w:rPr>
                <w:rFonts w:ascii="Arial" w:hAnsi="Arial" w:cs="Arial"/>
                <w:b/>
                <w:sz w:val="20"/>
                <w:szCs w:val="20"/>
              </w:rPr>
              <w:t>*</w:t>
            </w:r>
          </w:p>
        </w:tc>
        <w:tc>
          <w:tcPr>
            <w:tcW w:w="1276" w:type="dxa"/>
          </w:tcPr>
          <w:p w:rsidR="008E0010" w:rsidRPr="00CB3099" w:rsidRDefault="008E0010" w:rsidP="000A6DE5">
            <w:pPr>
              <w:autoSpaceDE w:val="0"/>
              <w:autoSpaceDN w:val="0"/>
              <w:adjustRightInd w:val="0"/>
              <w:jc w:val="center"/>
              <w:rPr>
                <w:rFonts w:ascii="Arial" w:hAnsi="Arial" w:cs="Arial"/>
                <w:sz w:val="20"/>
                <w:szCs w:val="20"/>
              </w:rPr>
            </w:pPr>
            <w:r w:rsidRPr="00CB3099">
              <w:rPr>
                <w:rFonts w:ascii="Arial" w:hAnsi="Arial" w:cs="Arial"/>
                <w:sz w:val="20"/>
                <w:szCs w:val="20"/>
              </w:rPr>
              <w:t>48,717</w:t>
            </w:r>
          </w:p>
        </w:tc>
        <w:tc>
          <w:tcPr>
            <w:tcW w:w="708" w:type="dxa"/>
          </w:tcPr>
          <w:p w:rsidR="008E0010" w:rsidRPr="00CB3099" w:rsidRDefault="008E0010" w:rsidP="00C470E6">
            <w:pPr>
              <w:autoSpaceDE w:val="0"/>
              <w:autoSpaceDN w:val="0"/>
              <w:adjustRightInd w:val="0"/>
              <w:jc w:val="center"/>
              <w:rPr>
                <w:rFonts w:ascii="Arial" w:hAnsi="Arial" w:cs="Arial"/>
                <w:sz w:val="20"/>
                <w:szCs w:val="20"/>
              </w:rPr>
            </w:pPr>
            <w:r w:rsidRPr="00CB3099">
              <w:rPr>
                <w:rFonts w:ascii="Arial" w:hAnsi="Arial" w:cs="Arial"/>
                <w:sz w:val="20"/>
                <w:szCs w:val="20"/>
              </w:rPr>
              <w:t>57</w:t>
            </w:r>
          </w:p>
        </w:tc>
        <w:tc>
          <w:tcPr>
            <w:tcW w:w="1134" w:type="dxa"/>
          </w:tcPr>
          <w:p w:rsidR="008E0010" w:rsidRPr="00CB3099" w:rsidRDefault="008E0010" w:rsidP="000A6DE5">
            <w:pPr>
              <w:autoSpaceDE w:val="0"/>
              <w:autoSpaceDN w:val="0"/>
              <w:adjustRightInd w:val="0"/>
              <w:jc w:val="center"/>
              <w:rPr>
                <w:rFonts w:ascii="Arial" w:hAnsi="Arial" w:cs="Arial"/>
                <w:sz w:val="20"/>
                <w:szCs w:val="20"/>
              </w:rPr>
            </w:pPr>
            <w:r w:rsidRPr="00CB3099">
              <w:rPr>
                <w:rFonts w:ascii="Arial" w:hAnsi="Arial" w:cs="Arial"/>
                <w:sz w:val="20"/>
                <w:szCs w:val="20"/>
              </w:rPr>
              <w:t>57,654</w:t>
            </w:r>
          </w:p>
        </w:tc>
        <w:tc>
          <w:tcPr>
            <w:tcW w:w="851" w:type="dxa"/>
          </w:tcPr>
          <w:p w:rsidR="008E0010" w:rsidRPr="00CB3099" w:rsidRDefault="00CB3099" w:rsidP="00483D62">
            <w:pPr>
              <w:autoSpaceDE w:val="0"/>
              <w:autoSpaceDN w:val="0"/>
              <w:adjustRightInd w:val="0"/>
              <w:jc w:val="center"/>
              <w:rPr>
                <w:rFonts w:ascii="Arial" w:hAnsi="Arial" w:cs="Arial"/>
                <w:sz w:val="20"/>
                <w:szCs w:val="20"/>
              </w:rPr>
            </w:pPr>
            <w:r w:rsidRPr="00CB3099">
              <w:rPr>
                <w:rFonts w:ascii="Arial" w:hAnsi="Arial" w:cs="Arial"/>
                <w:sz w:val="20"/>
                <w:szCs w:val="20"/>
              </w:rPr>
              <w:t>57.50</w:t>
            </w:r>
          </w:p>
        </w:tc>
        <w:tc>
          <w:tcPr>
            <w:tcW w:w="1134" w:type="dxa"/>
            <w:vAlign w:val="bottom"/>
          </w:tcPr>
          <w:p w:rsidR="008E0010" w:rsidRPr="00CB3099" w:rsidRDefault="00090450" w:rsidP="009F2D74">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63,456</w:t>
            </w:r>
            <w:r w:rsidR="00A60E1A" w:rsidRPr="00CB3099">
              <w:rPr>
                <w:rFonts w:ascii="Arial" w:eastAsia="Times New Roman" w:hAnsi="Arial" w:cs="Arial"/>
                <w:bCs/>
                <w:sz w:val="20"/>
                <w:szCs w:val="20"/>
                <w:lang w:eastAsia="en-GB"/>
              </w:rPr>
              <w:t xml:space="preserve"> </w:t>
            </w:r>
          </w:p>
        </w:tc>
        <w:tc>
          <w:tcPr>
            <w:tcW w:w="992" w:type="dxa"/>
            <w:vAlign w:val="bottom"/>
          </w:tcPr>
          <w:p w:rsidR="008E0010" w:rsidRPr="00CB3099" w:rsidRDefault="00CB3099" w:rsidP="00483D62">
            <w:pPr>
              <w:jc w:val="center"/>
              <w:rPr>
                <w:rFonts w:ascii="Arial" w:eastAsia="Times New Roman" w:hAnsi="Arial" w:cs="Arial"/>
                <w:bCs/>
                <w:sz w:val="20"/>
                <w:szCs w:val="20"/>
                <w:lang w:eastAsia="en-GB"/>
              </w:rPr>
            </w:pPr>
            <w:r w:rsidRPr="00CB3099">
              <w:rPr>
                <w:rFonts w:ascii="Arial" w:eastAsia="Times New Roman" w:hAnsi="Arial" w:cs="Arial"/>
                <w:bCs/>
                <w:sz w:val="20"/>
                <w:szCs w:val="20"/>
                <w:lang w:eastAsia="en-GB"/>
              </w:rPr>
              <w:t>61.35</w:t>
            </w:r>
          </w:p>
        </w:tc>
        <w:tc>
          <w:tcPr>
            <w:tcW w:w="1347" w:type="dxa"/>
          </w:tcPr>
          <w:p w:rsidR="008E0010" w:rsidRPr="00CB3099" w:rsidRDefault="00CB3099" w:rsidP="00DB0AE0">
            <w:pPr>
              <w:autoSpaceDE w:val="0"/>
              <w:autoSpaceDN w:val="0"/>
              <w:adjustRightInd w:val="0"/>
              <w:jc w:val="center"/>
              <w:rPr>
                <w:rFonts w:ascii="Arial" w:hAnsi="Arial" w:cs="Arial"/>
                <w:sz w:val="20"/>
                <w:szCs w:val="20"/>
              </w:rPr>
            </w:pPr>
            <w:r w:rsidRPr="00CB3099">
              <w:rPr>
                <w:rFonts w:ascii="Arial" w:hAnsi="Arial" w:cs="Arial"/>
                <w:sz w:val="20"/>
                <w:szCs w:val="20"/>
              </w:rPr>
              <w:t>79,855</w:t>
            </w:r>
          </w:p>
        </w:tc>
        <w:tc>
          <w:tcPr>
            <w:tcW w:w="1347" w:type="dxa"/>
          </w:tcPr>
          <w:p w:rsidR="008E0010" w:rsidRPr="00CB3099" w:rsidRDefault="00CB3099" w:rsidP="00483D62">
            <w:pPr>
              <w:autoSpaceDE w:val="0"/>
              <w:autoSpaceDN w:val="0"/>
              <w:adjustRightInd w:val="0"/>
              <w:jc w:val="center"/>
              <w:rPr>
                <w:rFonts w:ascii="Arial" w:hAnsi="Arial" w:cs="Arial"/>
                <w:sz w:val="20"/>
                <w:szCs w:val="20"/>
              </w:rPr>
            </w:pPr>
            <w:r w:rsidRPr="00CB3099">
              <w:rPr>
                <w:rFonts w:ascii="Arial" w:hAnsi="Arial" w:cs="Arial"/>
                <w:sz w:val="20"/>
                <w:szCs w:val="20"/>
              </w:rPr>
              <w:t>66.30</w:t>
            </w:r>
          </w:p>
        </w:tc>
      </w:tr>
    </w:tbl>
    <w:p w:rsidR="00D02A5B" w:rsidRDefault="00D02A5B" w:rsidP="005A0E7C">
      <w:pPr>
        <w:autoSpaceDE w:val="0"/>
        <w:autoSpaceDN w:val="0"/>
        <w:adjustRightInd w:val="0"/>
        <w:spacing w:after="0" w:line="240" w:lineRule="auto"/>
        <w:rPr>
          <w:rFonts w:ascii="Arial" w:hAnsi="Arial" w:cs="Arial"/>
          <w:b/>
          <w:sz w:val="16"/>
          <w:szCs w:val="16"/>
        </w:rPr>
      </w:pPr>
    </w:p>
    <w:p w:rsidR="00DB0AE0" w:rsidRDefault="00023CF5" w:rsidP="005A0E7C">
      <w:pPr>
        <w:autoSpaceDE w:val="0"/>
        <w:autoSpaceDN w:val="0"/>
        <w:adjustRightInd w:val="0"/>
        <w:spacing w:after="0" w:line="240" w:lineRule="auto"/>
        <w:rPr>
          <w:rFonts w:ascii="Arial" w:hAnsi="Arial" w:cs="Arial"/>
          <w:sz w:val="16"/>
          <w:szCs w:val="16"/>
        </w:rPr>
      </w:pPr>
      <w:r w:rsidRPr="00E8017B">
        <w:rPr>
          <w:rFonts w:ascii="Arial" w:hAnsi="Arial" w:cs="Arial"/>
          <w:sz w:val="16"/>
          <w:szCs w:val="16"/>
        </w:rPr>
        <w:t>Source: NISRA/</w:t>
      </w:r>
      <w:r w:rsidR="00D02A5B" w:rsidRPr="00E8017B">
        <w:rPr>
          <w:rFonts w:ascii="Arial" w:hAnsi="Arial" w:cs="Arial"/>
          <w:sz w:val="16"/>
          <w:szCs w:val="16"/>
        </w:rPr>
        <w:t xml:space="preserve">1981, </w:t>
      </w:r>
      <w:r w:rsidRPr="00E8017B">
        <w:rPr>
          <w:rFonts w:ascii="Arial" w:hAnsi="Arial" w:cs="Arial"/>
          <w:sz w:val="16"/>
          <w:szCs w:val="16"/>
        </w:rPr>
        <w:t>199</w:t>
      </w:r>
      <w:r w:rsidR="00DB0AE0" w:rsidRPr="00E8017B">
        <w:rPr>
          <w:rFonts w:ascii="Arial" w:hAnsi="Arial" w:cs="Arial"/>
          <w:sz w:val="16"/>
          <w:szCs w:val="16"/>
        </w:rPr>
        <w:t>1, 2001 &amp; 2011 Census Reports</w:t>
      </w:r>
    </w:p>
    <w:p w:rsidR="00DB0AE0" w:rsidRPr="00E471AD" w:rsidRDefault="00E471AD" w:rsidP="005A0E7C">
      <w:pPr>
        <w:autoSpaceDE w:val="0"/>
        <w:autoSpaceDN w:val="0"/>
        <w:adjustRightInd w:val="0"/>
        <w:spacing w:after="0" w:line="240" w:lineRule="auto"/>
        <w:rPr>
          <w:rFonts w:ascii="Arial" w:hAnsi="Arial" w:cs="Arial"/>
          <w:sz w:val="16"/>
          <w:szCs w:val="16"/>
        </w:rPr>
      </w:pPr>
      <w:r w:rsidRPr="00E471AD">
        <w:rPr>
          <w:rFonts w:ascii="Arial" w:hAnsi="Arial" w:cs="Arial"/>
          <w:sz w:val="16"/>
          <w:szCs w:val="16"/>
        </w:rPr>
        <w:t>* N</w:t>
      </w:r>
      <w:r>
        <w:rPr>
          <w:rFonts w:ascii="Arial" w:hAnsi="Arial" w:cs="Arial"/>
          <w:sz w:val="16"/>
          <w:szCs w:val="16"/>
        </w:rPr>
        <w:t>MD is a basic total of the two LGD figures and the percentage an average of the two districts.</w:t>
      </w:r>
    </w:p>
    <w:p w:rsidR="00DB0AE0" w:rsidRDefault="00DB0AE0" w:rsidP="005A0E7C">
      <w:pPr>
        <w:autoSpaceDE w:val="0"/>
        <w:autoSpaceDN w:val="0"/>
        <w:adjustRightInd w:val="0"/>
        <w:spacing w:after="0" w:line="240" w:lineRule="auto"/>
        <w:rPr>
          <w:rFonts w:ascii="Arial" w:hAnsi="Arial" w:cs="Arial"/>
          <w:sz w:val="24"/>
          <w:szCs w:val="24"/>
        </w:rPr>
      </w:pPr>
    </w:p>
    <w:p w:rsidR="0019114F" w:rsidRDefault="0019114F" w:rsidP="005A0E7C">
      <w:pPr>
        <w:autoSpaceDE w:val="0"/>
        <w:autoSpaceDN w:val="0"/>
        <w:adjustRightInd w:val="0"/>
        <w:spacing w:after="0" w:line="240" w:lineRule="auto"/>
        <w:rPr>
          <w:rFonts w:ascii="Arial" w:hAnsi="Arial" w:cs="Arial"/>
          <w:b/>
          <w:sz w:val="24"/>
          <w:szCs w:val="24"/>
        </w:rPr>
      </w:pPr>
    </w:p>
    <w:p w:rsidR="00642D8A" w:rsidRPr="00132AF8" w:rsidRDefault="00D06F95" w:rsidP="005A0E7C">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Table 3:</w:t>
      </w:r>
      <w:r w:rsidR="00642D8A" w:rsidRPr="00132AF8">
        <w:rPr>
          <w:rFonts w:ascii="Tahoma" w:hAnsi="Tahoma" w:cs="Tahoma"/>
          <w:b/>
          <w:sz w:val="24"/>
          <w:szCs w:val="24"/>
        </w:rPr>
        <w:t xml:space="preserve"> Economic Activity of the Population (16-74 year old</w:t>
      </w:r>
      <w:r w:rsidR="00457B7F" w:rsidRPr="00132AF8">
        <w:rPr>
          <w:rFonts w:ascii="Tahoma" w:hAnsi="Tahoma" w:cs="Tahoma"/>
          <w:b/>
          <w:sz w:val="24"/>
          <w:szCs w:val="24"/>
        </w:rPr>
        <w:t>)</w:t>
      </w:r>
      <w:r w:rsidR="00642D8A" w:rsidRPr="00132AF8">
        <w:rPr>
          <w:rFonts w:ascii="Tahoma" w:hAnsi="Tahoma" w:cs="Tahoma"/>
          <w:b/>
          <w:sz w:val="24"/>
          <w:szCs w:val="24"/>
        </w:rPr>
        <w:t xml:space="preserve"> – 2011</w:t>
      </w:r>
    </w:p>
    <w:p w:rsidR="00642D8A" w:rsidRDefault="00642D8A" w:rsidP="005A0E7C">
      <w:pPr>
        <w:autoSpaceDE w:val="0"/>
        <w:autoSpaceDN w:val="0"/>
        <w:adjustRightInd w:val="0"/>
        <w:spacing w:after="0" w:line="240" w:lineRule="auto"/>
        <w:rPr>
          <w:rFonts w:ascii="Arial" w:hAnsi="Arial" w:cs="Arial"/>
          <w:sz w:val="24"/>
          <w:szCs w:val="24"/>
        </w:rPr>
      </w:pPr>
    </w:p>
    <w:tbl>
      <w:tblPr>
        <w:tblStyle w:val="TableGrid"/>
        <w:tblW w:w="10491" w:type="dxa"/>
        <w:tblInd w:w="-318" w:type="dxa"/>
        <w:tblLayout w:type="fixed"/>
        <w:tblLook w:val="04A0" w:firstRow="1" w:lastRow="0" w:firstColumn="1" w:lastColumn="0" w:noHBand="0" w:noVBand="1"/>
      </w:tblPr>
      <w:tblGrid>
        <w:gridCol w:w="852"/>
        <w:gridCol w:w="1134"/>
        <w:gridCol w:w="1559"/>
        <w:gridCol w:w="1276"/>
        <w:gridCol w:w="1275"/>
        <w:gridCol w:w="1276"/>
        <w:gridCol w:w="1559"/>
        <w:gridCol w:w="1560"/>
      </w:tblGrid>
      <w:tr w:rsidR="00691901" w:rsidRPr="00825CCC" w:rsidTr="00CB3099">
        <w:trPr>
          <w:trHeight w:val="900"/>
        </w:trPr>
        <w:tc>
          <w:tcPr>
            <w:tcW w:w="852" w:type="dxa"/>
            <w:shd w:val="clear" w:color="auto" w:fill="D9D9D9" w:themeFill="background1" w:themeFillShade="D9"/>
            <w:noWrap/>
            <w:hideMark/>
          </w:tcPr>
          <w:p w:rsidR="00825CCC" w:rsidRPr="00184CB4" w:rsidRDefault="00825CCC" w:rsidP="00825CCC">
            <w:pPr>
              <w:autoSpaceDE w:val="0"/>
              <w:autoSpaceDN w:val="0"/>
              <w:adjustRightInd w:val="0"/>
              <w:rPr>
                <w:rFonts w:ascii="Arial" w:hAnsi="Arial" w:cs="Arial"/>
                <w:sz w:val="20"/>
                <w:szCs w:val="20"/>
              </w:rPr>
            </w:pPr>
          </w:p>
        </w:tc>
        <w:tc>
          <w:tcPr>
            <w:tcW w:w="1134" w:type="dxa"/>
            <w:shd w:val="clear" w:color="auto" w:fill="D9D9D9" w:themeFill="background1" w:themeFillShade="D9"/>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All Usual residents</w:t>
            </w:r>
          </w:p>
        </w:tc>
        <w:tc>
          <w:tcPr>
            <w:tcW w:w="1559" w:type="dxa"/>
            <w:shd w:val="clear" w:color="auto" w:fill="D9D9D9" w:themeFill="background1" w:themeFillShade="D9"/>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Economically Active: Total</w:t>
            </w:r>
          </w:p>
        </w:tc>
        <w:tc>
          <w:tcPr>
            <w:tcW w:w="1276" w:type="dxa"/>
            <w:shd w:val="clear" w:color="auto" w:fill="D9D9D9" w:themeFill="background1" w:themeFillShade="D9"/>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Employee Part-time</w:t>
            </w:r>
          </w:p>
        </w:tc>
        <w:tc>
          <w:tcPr>
            <w:tcW w:w="1275" w:type="dxa"/>
            <w:shd w:val="clear" w:color="auto" w:fill="D9D9D9" w:themeFill="background1" w:themeFillShade="D9"/>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Employee Full-time</w:t>
            </w:r>
          </w:p>
        </w:tc>
        <w:tc>
          <w:tcPr>
            <w:tcW w:w="1276" w:type="dxa"/>
            <w:shd w:val="clear" w:color="auto" w:fill="D9D9D9" w:themeFill="background1" w:themeFillShade="D9"/>
            <w:noWrap/>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Self Employed</w:t>
            </w:r>
          </w:p>
        </w:tc>
        <w:tc>
          <w:tcPr>
            <w:tcW w:w="1559" w:type="dxa"/>
            <w:shd w:val="clear" w:color="auto" w:fill="D9D9D9" w:themeFill="background1" w:themeFillShade="D9"/>
            <w:hideMark/>
          </w:tcPr>
          <w:p w:rsidR="00184CB4"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Economically Active:</w:t>
            </w:r>
          </w:p>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Unemployed</w:t>
            </w:r>
          </w:p>
        </w:tc>
        <w:tc>
          <w:tcPr>
            <w:tcW w:w="1560" w:type="dxa"/>
            <w:shd w:val="clear" w:color="auto" w:fill="D9D9D9" w:themeFill="background1" w:themeFillShade="D9"/>
            <w:hideMark/>
          </w:tcPr>
          <w:p w:rsidR="00184CB4"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 xml:space="preserve">Economically Active: </w:t>
            </w:r>
          </w:p>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Full-time student</w:t>
            </w:r>
          </w:p>
        </w:tc>
      </w:tr>
      <w:tr w:rsidR="00691901" w:rsidRPr="00825CCC" w:rsidTr="00CB3099">
        <w:trPr>
          <w:trHeight w:val="300"/>
        </w:trPr>
        <w:tc>
          <w:tcPr>
            <w:tcW w:w="852" w:type="dxa"/>
            <w:shd w:val="clear" w:color="auto" w:fill="D9D9D9" w:themeFill="background1" w:themeFillShade="D9"/>
            <w:noWrap/>
            <w:hideMark/>
          </w:tcPr>
          <w:p w:rsidR="00825CCC" w:rsidRPr="00184CB4" w:rsidRDefault="00825CCC" w:rsidP="00825CCC">
            <w:pPr>
              <w:autoSpaceDE w:val="0"/>
              <w:autoSpaceDN w:val="0"/>
              <w:adjustRightInd w:val="0"/>
              <w:rPr>
                <w:rFonts w:ascii="Arial" w:hAnsi="Arial" w:cs="Arial"/>
                <w:b/>
                <w:sz w:val="20"/>
                <w:szCs w:val="20"/>
              </w:rPr>
            </w:pPr>
            <w:r w:rsidRPr="00184CB4">
              <w:rPr>
                <w:rFonts w:ascii="Arial" w:hAnsi="Arial" w:cs="Arial"/>
                <w:b/>
                <w:sz w:val="20"/>
                <w:szCs w:val="20"/>
              </w:rPr>
              <w:t>NI</w:t>
            </w:r>
          </w:p>
        </w:tc>
        <w:tc>
          <w:tcPr>
            <w:tcW w:w="1134"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1,313,420</w:t>
            </w:r>
          </w:p>
        </w:tc>
        <w:tc>
          <w:tcPr>
            <w:tcW w:w="1559"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869,767</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172,138</w:t>
            </w:r>
          </w:p>
        </w:tc>
        <w:tc>
          <w:tcPr>
            <w:tcW w:w="1275"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467,805</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116,666</w:t>
            </w:r>
          </w:p>
        </w:tc>
        <w:tc>
          <w:tcPr>
            <w:tcW w:w="1559" w:type="dxa"/>
            <w:noWrap/>
            <w:hideMark/>
          </w:tcPr>
          <w:p w:rsidR="00825CCC" w:rsidRPr="00184CB4" w:rsidRDefault="00184CB4" w:rsidP="00825CCC">
            <w:pPr>
              <w:autoSpaceDE w:val="0"/>
              <w:autoSpaceDN w:val="0"/>
              <w:adjustRightInd w:val="0"/>
              <w:rPr>
                <w:rFonts w:ascii="Arial" w:hAnsi="Arial" w:cs="Arial"/>
                <w:sz w:val="20"/>
                <w:szCs w:val="20"/>
              </w:rPr>
            </w:pPr>
            <w:r>
              <w:rPr>
                <w:rFonts w:ascii="Arial" w:hAnsi="Arial" w:cs="Arial"/>
                <w:sz w:val="20"/>
                <w:szCs w:val="20"/>
              </w:rPr>
              <w:t>65,196</w:t>
            </w:r>
          </w:p>
        </w:tc>
        <w:tc>
          <w:tcPr>
            <w:tcW w:w="1560" w:type="dxa"/>
            <w:noWrap/>
            <w:hideMark/>
          </w:tcPr>
          <w:p w:rsidR="00825CCC" w:rsidRPr="00184CB4" w:rsidRDefault="00184CB4" w:rsidP="00825CCC">
            <w:pPr>
              <w:autoSpaceDE w:val="0"/>
              <w:autoSpaceDN w:val="0"/>
              <w:adjustRightInd w:val="0"/>
              <w:rPr>
                <w:rFonts w:ascii="Arial" w:hAnsi="Arial" w:cs="Arial"/>
                <w:sz w:val="20"/>
                <w:szCs w:val="20"/>
              </w:rPr>
            </w:pPr>
            <w:r>
              <w:rPr>
                <w:rFonts w:ascii="Arial" w:hAnsi="Arial" w:cs="Arial"/>
                <w:sz w:val="20"/>
                <w:szCs w:val="20"/>
              </w:rPr>
              <w:t>47,962</w:t>
            </w:r>
          </w:p>
        </w:tc>
      </w:tr>
      <w:tr w:rsidR="00691901" w:rsidRPr="00825CCC" w:rsidTr="00CB3099">
        <w:trPr>
          <w:trHeight w:val="300"/>
        </w:trPr>
        <w:tc>
          <w:tcPr>
            <w:tcW w:w="852" w:type="dxa"/>
            <w:shd w:val="clear" w:color="auto" w:fill="D9D9D9" w:themeFill="background1" w:themeFillShade="D9"/>
            <w:noWrap/>
          </w:tcPr>
          <w:p w:rsidR="00F76FCE" w:rsidRPr="00184CB4" w:rsidRDefault="00F76FCE" w:rsidP="00825CCC">
            <w:pPr>
              <w:autoSpaceDE w:val="0"/>
              <w:autoSpaceDN w:val="0"/>
              <w:adjustRightInd w:val="0"/>
              <w:rPr>
                <w:rFonts w:ascii="Arial" w:hAnsi="Arial" w:cs="Arial"/>
                <w:b/>
                <w:sz w:val="20"/>
                <w:szCs w:val="20"/>
              </w:rPr>
            </w:pPr>
          </w:p>
        </w:tc>
        <w:tc>
          <w:tcPr>
            <w:tcW w:w="1134" w:type="dxa"/>
            <w:noWrap/>
          </w:tcPr>
          <w:p w:rsidR="00F76FCE" w:rsidRPr="00184CB4" w:rsidRDefault="00F76FCE" w:rsidP="00825CCC">
            <w:pPr>
              <w:autoSpaceDE w:val="0"/>
              <w:autoSpaceDN w:val="0"/>
              <w:adjustRightInd w:val="0"/>
              <w:rPr>
                <w:rFonts w:ascii="Arial" w:hAnsi="Arial" w:cs="Arial"/>
                <w:sz w:val="20"/>
                <w:szCs w:val="20"/>
              </w:rPr>
            </w:pPr>
            <w:r>
              <w:rPr>
                <w:rFonts w:ascii="Arial" w:hAnsi="Arial" w:cs="Arial"/>
                <w:sz w:val="20"/>
                <w:szCs w:val="20"/>
              </w:rPr>
              <w:t>100</w:t>
            </w:r>
            <w:r w:rsidR="00E6676E">
              <w:rPr>
                <w:rFonts w:ascii="Arial" w:hAnsi="Arial" w:cs="Arial"/>
                <w:sz w:val="20"/>
                <w:szCs w:val="20"/>
              </w:rPr>
              <w:t>%</w:t>
            </w:r>
          </w:p>
        </w:tc>
        <w:tc>
          <w:tcPr>
            <w:tcW w:w="1559"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66.22%</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13.11%</w:t>
            </w:r>
          </w:p>
        </w:tc>
        <w:tc>
          <w:tcPr>
            <w:tcW w:w="1275"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35.62%</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8.88%</w:t>
            </w:r>
          </w:p>
        </w:tc>
        <w:tc>
          <w:tcPr>
            <w:tcW w:w="1559"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4.96%</w:t>
            </w:r>
          </w:p>
        </w:tc>
        <w:tc>
          <w:tcPr>
            <w:tcW w:w="1560"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3.65%</w:t>
            </w:r>
          </w:p>
        </w:tc>
      </w:tr>
      <w:tr w:rsidR="00691901" w:rsidRPr="00825CCC" w:rsidTr="00CB3099">
        <w:trPr>
          <w:trHeight w:val="300"/>
        </w:trPr>
        <w:tc>
          <w:tcPr>
            <w:tcW w:w="852" w:type="dxa"/>
            <w:shd w:val="clear" w:color="auto" w:fill="D9D9D9" w:themeFill="background1" w:themeFillShade="D9"/>
            <w:noWrap/>
            <w:hideMark/>
          </w:tcPr>
          <w:p w:rsidR="00825CCC" w:rsidRPr="00184CB4" w:rsidRDefault="00E6676E" w:rsidP="00825CCC">
            <w:pPr>
              <w:autoSpaceDE w:val="0"/>
              <w:autoSpaceDN w:val="0"/>
              <w:adjustRightInd w:val="0"/>
              <w:rPr>
                <w:rFonts w:ascii="Arial" w:hAnsi="Arial" w:cs="Arial"/>
                <w:b/>
                <w:sz w:val="20"/>
                <w:szCs w:val="20"/>
              </w:rPr>
            </w:pPr>
            <w:r>
              <w:rPr>
                <w:rFonts w:ascii="Arial" w:hAnsi="Arial" w:cs="Arial"/>
                <w:b/>
                <w:sz w:val="20"/>
                <w:szCs w:val="20"/>
              </w:rPr>
              <w:t>NM</w:t>
            </w:r>
            <w:r w:rsidR="00275CDE">
              <w:rPr>
                <w:rFonts w:ascii="Arial" w:hAnsi="Arial" w:cs="Arial"/>
                <w:b/>
                <w:sz w:val="20"/>
                <w:szCs w:val="20"/>
              </w:rPr>
              <w:t>D</w:t>
            </w:r>
            <w:r>
              <w:rPr>
                <w:rFonts w:ascii="Arial" w:hAnsi="Arial" w:cs="Arial"/>
                <w:b/>
                <w:sz w:val="20"/>
                <w:szCs w:val="20"/>
              </w:rPr>
              <w:t>C</w:t>
            </w:r>
          </w:p>
        </w:tc>
        <w:tc>
          <w:tcPr>
            <w:tcW w:w="1134"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70,560</w:t>
            </w:r>
          </w:p>
        </w:tc>
        <w:tc>
          <w:tcPr>
            <w:tcW w:w="1559" w:type="dxa"/>
            <w:noWrap/>
            <w:hideMark/>
          </w:tcPr>
          <w:p w:rsidR="00825CCC"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46,207</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9,168</w:t>
            </w:r>
          </w:p>
        </w:tc>
        <w:tc>
          <w:tcPr>
            <w:tcW w:w="1275"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22,535</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7,882</w:t>
            </w:r>
          </w:p>
        </w:tc>
        <w:tc>
          <w:tcPr>
            <w:tcW w:w="1559" w:type="dxa"/>
            <w:noWrap/>
            <w:hideMark/>
          </w:tcPr>
          <w:p w:rsidR="00825CCC" w:rsidRPr="00184CB4" w:rsidRDefault="00F76FCE" w:rsidP="00825CCC">
            <w:pPr>
              <w:autoSpaceDE w:val="0"/>
              <w:autoSpaceDN w:val="0"/>
              <w:adjustRightInd w:val="0"/>
              <w:rPr>
                <w:rFonts w:ascii="Arial" w:hAnsi="Arial" w:cs="Arial"/>
                <w:sz w:val="20"/>
                <w:szCs w:val="20"/>
              </w:rPr>
            </w:pPr>
            <w:r>
              <w:rPr>
                <w:rFonts w:ascii="Arial" w:hAnsi="Arial" w:cs="Arial"/>
                <w:sz w:val="20"/>
                <w:szCs w:val="20"/>
              </w:rPr>
              <w:t>4,315</w:t>
            </w:r>
          </w:p>
        </w:tc>
        <w:tc>
          <w:tcPr>
            <w:tcW w:w="1560" w:type="dxa"/>
            <w:noWrap/>
            <w:hideMark/>
          </w:tcPr>
          <w:p w:rsidR="00825CCC" w:rsidRPr="00184CB4" w:rsidRDefault="00F76FCE" w:rsidP="00825CCC">
            <w:pPr>
              <w:autoSpaceDE w:val="0"/>
              <w:autoSpaceDN w:val="0"/>
              <w:adjustRightInd w:val="0"/>
              <w:rPr>
                <w:rFonts w:ascii="Arial" w:hAnsi="Arial" w:cs="Arial"/>
                <w:sz w:val="20"/>
                <w:szCs w:val="20"/>
              </w:rPr>
            </w:pPr>
            <w:r>
              <w:rPr>
                <w:rFonts w:ascii="Arial" w:hAnsi="Arial" w:cs="Arial"/>
                <w:sz w:val="20"/>
                <w:szCs w:val="20"/>
              </w:rPr>
              <w:t>2,307</w:t>
            </w:r>
          </w:p>
        </w:tc>
      </w:tr>
      <w:tr w:rsidR="00691901" w:rsidRPr="00825CCC" w:rsidTr="00CB3099">
        <w:trPr>
          <w:trHeight w:val="300"/>
        </w:trPr>
        <w:tc>
          <w:tcPr>
            <w:tcW w:w="852" w:type="dxa"/>
            <w:shd w:val="clear" w:color="auto" w:fill="D9D9D9" w:themeFill="background1" w:themeFillShade="D9"/>
            <w:noWrap/>
          </w:tcPr>
          <w:p w:rsidR="00F76FCE" w:rsidRPr="00184CB4" w:rsidRDefault="00F76FCE" w:rsidP="00825CCC">
            <w:pPr>
              <w:autoSpaceDE w:val="0"/>
              <w:autoSpaceDN w:val="0"/>
              <w:adjustRightInd w:val="0"/>
              <w:rPr>
                <w:rFonts w:ascii="Arial" w:hAnsi="Arial" w:cs="Arial"/>
                <w:b/>
                <w:sz w:val="20"/>
                <w:szCs w:val="20"/>
              </w:rPr>
            </w:pPr>
          </w:p>
        </w:tc>
        <w:tc>
          <w:tcPr>
            <w:tcW w:w="1134"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100%</w:t>
            </w:r>
          </w:p>
        </w:tc>
        <w:tc>
          <w:tcPr>
            <w:tcW w:w="1559" w:type="dxa"/>
            <w:noWrap/>
          </w:tcPr>
          <w:p w:rsidR="00F76FCE" w:rsidRPr="00184CB4" w:rsidRDefault="00784318" w:rsidP="00784318">
            <w:pPr>
              <w:autoSpaceDE w:val="0"/>
              <w:autoSpaceDN w:val="0"/>
              <w:adjustRightInd w:val="0"/>
              <w:rPr>
                <w:rFonts w:ascii="Arial" w:hAnsi="Arial" w:cs="Arial"/>
                <w:sz w:val="20"/>
                <w:szCs w:val="20"/>
              </w:rPr>
            </w:pPr>
            <w:r>
              <w:rPr>
                <w:rFonts w:ascii="Arial" w:hAnsi="Arial" w:cs="Arial"/>
                <w:sz w:val="20"/>
                <w:szCs w:val="20"/>
              </w:rPr>
              <w:t>65.49%</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12.99%</w:t>
            </w:r>
          </w:p>
        </w:tc>
        <w:tc>
          <w:tcPr>
            <w:tcW w:w="1275"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31.94%</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11.17%</w:t>
            </w:r>
          </w:p>
        </w:tc>
        <w:tc>
          <w:tcPr>
            <w:tcW w:w="1559"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6.12%</w:t>
            </w:r>
          </w:p>
        </w:tc>
        <w:tc>
          <w:tcPr>
            <w:tcW w:w="1560"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3.27%</w:t>
            </w:r>
          </w:p>
        </w:tc>
      </w:tr>
      <w:tr w:rsidR="00691901" w:rsidRPr="00825CCC" w:rsidTr="00CB3099">
        <w:trPr>
          <w:trHeight w:val="300"/>
        </w:trPr>
        <w:tc>
          <w:tcPr>
            <w:tcW w:w="852" w:type="dxa"/>
            <w:shd w:val="clear" w:color="auto" w:fill="D9D9D9" w:themeFill="background1" w:themeFillShade="D9"/>
            <w:noWrap/>
            <w:hideMark/>
          </w:tcPr>
          <w:p w:rsidR="00825CCC" w:rsidRPr="00184CB4" w:rsidRDefault="00E6676E" w:rsidP="00825CCC">
            <w:pPr>
              <w:autoSpaceDE w:val="0"/>
              <w:autoSpaceDN w:val="0"/>
              <w:adjustRightInd w:val="0"/>
              <w:rPr>
                <w:rFonts w:ascii="Arial" w:hAnsi="Arial" w:cs="Arial"/>
                <w:b/>
                <w:sz w:val="20"/>
                <w:szCs w:val="20"/>
              </w:rPr>
            </w:pPr>
            <w:r>
              <w:rPr>
                <w:rFonts w:ascii="Arial" w:hAnsi="Arial" w:cs="Arial"/>
                <w:b/>
                <w:sz w:val="20"/>
                <w:szCs w:val="20"/>
              </w:rPr>
              <w:t>DDC</w:t>
            </w:r>
          </w:p>
        </w:tc>
        <w:tc>
          <w:tcPr>
            <w:tcW w:w="1134"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50,138</w:t>
            </w:r>
          </w:p>
        </w:tc>
        <w:tc>
          <w:tcPr>
            <w:tcW w:w="1559" w:type="dxa"/>
            <w:noWrap/>
            <w:hideMark/>
          </w:tcPr>
          <w:p w:rsidR="00825CCC" w:rsidRPr="00184CB4" w:rsidRDefault="00784318" w:rsidP="00825CCC">
            <w:pPr>
              <w:autoSpaceDE w:val="0"/>
              <w:autoSpaceDN w:val="0"/>
              <w:adjustRightInd w:val="0"/>
              <w:rPr>
                <w:rFonts w:ascii="Arial" w:hAnsi="Arial" w:cs="Arial"/>
                <w:sz w:val="20"/>
                <w:szCs w:val="20"/>
              </w:rPr>
            </w:pPr>
            <w:r>
              <w:rPr>
                <w:rFonts w:ascii="Arial" w:hAnsi="Arial" w:cs="Arial"/>
                <w:sz w:val="20"/>
                <w:szCs w:val="20"/>
              </w:rPr>
              <w:t>33,648</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6,561</w:t>
            </w:r>
          </w:p>
        </w:tc>
        <w:tc>
          <w:tcPr>
            <w:tcW w:w="1275"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17,157</w:t>
            </w:r>
          </w:p>
        </w:tc>
        <w:tc>
          <w:tcPr>
            <w:tcW w:w="1276" w:type="dxa"/>
            <w:noWrap/>
            <w:hideMark/>
          </w:tcPr>
          <w:p w:rsidR="00825CCC" w:rsidRPr="00184CB4" w:rsidRDefault="00825CCC" w:rsidP="00825CCC">
            <w:pPr>
              <w:autoSpaceDE w:val="0"/>
              <w:autoSpaceDN w:val="0"/>
              <w:adjustRightInd w:val="0"/>
              <w:rPr>
                <w:rFonts w:ascii="Arial" w:hAnsi="Arial" w:cs="Arial"/>
                <w:sz w:val="20"/>
                <w:szCs w:val="20"/>
              </w:rPr>
            </w:pPr>
            <w:r w:rsidRPr="00184CB4">
              <w:rPr>
                <w:rFonts w:ascii="Arial" w:hAnsi="Arial" w:cs="Arial"/>
                <w:sz w:val="20"/>
                <w:szCs w:val="20"/>
              </w:rPr>
              <w:t>5,799</w:t>
            </w:r>
          </w:p>
        </w:tc>
        <w:tc>
          <w:tcPr>
            <w:tcW w:w="1559" w:type="dxa"/>
            <w:noWrap/>
            <w:hideMark/>
          </w:tcPr>
          <w:p w:rsidR="00825CCC" w:rsidRPr="00184CB4" w:rsidRDefault="00F76FCE" w:rsidP="00825CCC">
            <w:pPr>
              <w:autoSpaceDE w:val="0"/>
              <w:autoSpaceDN w:val="0"/>
              <w:adjustRightInd w:val="0"/>
              <w:rPr>
                <w:rFonts w:ascii="Arial" w:hAnsi="Arial" w:cs="Arial"/>
                <w:sz w:val="20"/>
                <w:szCs w:val="20"/>
              </w:rPr>
            </w:pPr>
            <w:r>
              <w:rPr>
                <w:rFonts w:ascii="Arial" w:hAnsi="Arial" w:cs="Arial"/>
                <w:sz w:val="20"/>
                <w:szCs w:val="20"/>
              </w:rPr>
              <w:t>2,451</w:t>
            </w:r>
          </w:p>
        </w:tc>
        <w:tc>
          <w:tcPr>
            <w:tcW w:w="1560" w:type="dxa"/>
            <w:noWrap/>
            <w:hideMark/>
          </w:tcPr>
          <w:p w:rsidR="00825CCC" w:rsidRPr="00184CB4" w:rsidRDefault="00F76FCE" w:rsidP="00825CCC">
            <w:pPr>
              <w:autoSpaceDE w:val="0"/>
              <w:autoSpaceDN w:val="0"/>
              <w:adjustRightInd w:val="0"/>
              <w:rPr>
                <w:rFonts w:ascii="Arial" w:hAnsi="Arial" w:cs="Arial"/>
                <w:sz w:val="20"/>
                <w:szCs w:val="20"/>
              </w:rPr>
            </w:pPr>
            <w:r>
              <w:rPr>
                <w:rFonts w:ascii="Arial" w:hAnsi="Arial" w:cs="Arial"/>
                <w:sz w:val="20"/>
                <w:szCs w:val="20"/>
              </w:rPr>
              <w:t>1,680</w:t>
            </w:r>
          </w:p>
        </w:tc>
      </w:tr>
      <w:tr w:rsidR="00691901" w:rsidRPr="00825CCC" w:rsidTr="00CB3099">
        <w:trPr>
          <w:trHeight w:val="300"/>
        </w:trPr>
        <w:tc>
          <w:tcPr>
            <w:tcW w:w="852" w:type="dxa"/>
            <w:shd w:val="clear" w:color="auto" w:fill="D9D9D9" w:themeFill="background1" w:themeFillShade="D9"/>
            <w:noWrap/>
          </w:tcPr>
          <w:p w:rsidR="00F76FCE" w:rsidRPr="00184CB4" w:rsidRDefault="00F76FCE" w:rsidP="00825CCC">
            <w:pPr>
              <w:autoSpaceDE w:val="0"/>
              <w:autoSpaceDN w:val="0"/>
              <w:adjustRightInd w:val="0"/>
              <w:rPr>
                <w:rFonts w:ascii="Arial" w:hAnsi="Arial" w:cs="Arial"/>
                <w:b/>
                <w:sz w:val="20"/>
                <w:szCs w:val="20"/>
              </w:rPr>
            </w:pPr>
          </w:p>
        </w:tc>
        <w:tc>
          <w:tcPr>
            <w:tcW w:w="1134"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100%</w:t>
            </w:r>
          </w:p>
        </w:tc>
        <w:tc>
          <w:tcPr>
            <w:tcW w:w="1559" w:type="dxa"/>
            <w:noWrap/>
          </w:tcPr>
          <w:p w:rsidR="00F76FCE" w:rsidRPr="00184CB4" w:rsidRDefault="00784318" w:rsidP="00825CCC">
            <w:pPr>
              <w:autoSpaceDE w:val="0"/>
              <w:autoSpaceDN w:val="0"/>
              <w:adjustRightInd w:val="0"/>
              <w:rPr>
                <w:rFonts w:ascii="Arial" w:hAnsi="Arial" w:cs="Arial"/>
                <w:sz w:val="20"/>
                <w:szCs w:val="20"/>
              </w:rPr>
            </w:pPr>
            <w:r>
              <w:rPr>
                <w:rFonts w:ascii="Arial" w:hAnsi="Arial" w:cs="Arial"/>
                <w:sz w:val="20"/>
                <w:szCs w:val="20"/>
              </w:rPr>
              <w:t>67.11%</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13.09</w:t>
            </w:r>
            <w:r w:rsidR="00275CDE">
              <w:rPr>
                <w:rFonts w:ascii="Arial" w:hAnsi="Arial" w:cs="Arial"/>
                <w:sz w:val="20"/>
                <w:szCs w:val="20"/>
              </w:rPr>
              <w:t>%</w:t>
            </w:r>
          </w:p>
        </w:tc>
        <w:tc>
          <w:tcPr>
            <w:tcW w:w="1275"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34.22</w:t>
            </w:r>
            <w:r w:rsidR="00275CDE">
              <w:rPr>
                <w:rFonts w:ascii="Arial" w:hAnsi="Arial" w:cs="Arial"/>
                <w:sz w:val="20"/>
                <w:szCs w:val="20"/>
              </w:rPr>
              <w:t>%</w:t>
            </w:r>
          </w:p>
        </w:tc>
        <w:tc>
          <w:tcPr>
            <w:tcW w:w="1276" w:type="dxa"/>
            <w:noWrap/>
          </w:tcPr>
          <w:p w:rsidR="00F76FCE" w:rsidRPr="00184CB4" w:rsidRDefault="00E6676E" w:rsidP="00825CCC">
            <w:pPr>
              <w:autoSpaceDE w:val="0"/>
              <w:autoSpaceDN w:val="0"/>
              <w:adjustRightInd w:val="0"/>
              <w:rPr>
                <w:rFonts w:ascii="Arial" w:hAnsi="Arial" w:cs="Arial"/>
                <w:sz w:val="20"/>
                <w:szCs w:val="20"/>
              </w:rPr>
            </w:pPr>
            <w:r>
              <w:rPr>
                <w:rFonts w:ascii="Arial" w:hAnsi="Arial" w:cs="Arial"/>
                <w:sz w:val="20"/>
                <w:szCs w:val="20"/>
              </w:rPr>
              <w:t>11.57</w:t>
            </w:r>
            <w:r w:rsidR="00275CDE">
              <w:rPr>
                <w:rFonts w:ascii="Arial" w:hAnsi="Arial" w:cs="Arial"/>
                <w:sz w:val="20"/>
                <w:szCs w:val="20"/>
              </w:rPr>
              <w:t>%</w:t>
            </w:r>
          </w:p>
        </w:tc>
        <w:tc>
          <w:tcPr>
            <w:tcW w:w="1559"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4.89</w:t>
            </w:r>
            <w:r w:rsidR="00275CDE">
              <w:rPr>
                <w:rFonts w:ascii="Arial" w:hAnsi="Arial" w:cs="Arial"/>
                <w:sz w:val="20"/>
                <w:szCs w:val="20"/>
              </w:rPr>
              <w:t>%</w:t>
            </w:r>
          </w:p>
        </w:tc>
        <w:tc>
          <w:tcPr>
            <w:tcW w:w="1560" w:type="dxa"/>
            <w:noWrap/>
          </w:tcPr>
          <w:p w:rsidR="00F76FCE" w:rsidRDefault="00E6676E" w:rsidP="00825CCC">
            <w:pPr>
              <w:autoSpaceDE w:val="0"/>
              <w:autoSpaceDN w:val="0"/>
              <w:adjustRightInd w:val="0"/>
              <w:rPr>
                <w:rFonts w:ascii="Arial" w:hAnsi="Arial" w:cs="Arial"/>
                <w:sz w:val="20"/>
                <w:szCs w:val="20"/>
              </w:rPr>
            </w:pPr>
            <w:r>
              <w:rPr>
                <w:rFonts w:ascii="Arial" w:hAnsi="Arial" w:cs="Arial"/>
                <w:sz w:val="20"/>
                <w:szCs w:val="20"/>
              </w:rPr>
              <w:t>3.35</w:t>
            </w:r>
            <w:r w:rsidR="00275CDE">
              <w:rPr>
                <w:rFonts w:ascii="Arial" w:hAnsi="Arial" w:cs="Arial"/>
                <w:sz w:val="20"/>
                <w:szCs w:val="20"/>
              </w:rPr>
              <w:t>%</w:t>
            </w:r>
          </w:p>
        </w:tc>
      </w:tr>
      <w:tr w:rsidR="00CB3099" w:rsidRPr="00825CCC" w:rsidTr="00CB3099">
        <w:trPr>
          <w:trHeight w:val="300"/>
        </w:trPr>
        <w:tc>
          <w:tcPr>
            <w:tcW w:w="852" w:type="dxa"/>
            <w:shd w:val="clear" w:color="auto" w:fill="D9D9D9" w:themeFill="background1" w:themeFillShade="D9"/>
            <w:noWrap/>
          </w:tcPr>
          <w:p w:rsidR="00CB3099" w:rsidRPr="00184CB4" w:rsidRDefault="00CB3099" w:rsidP="00825CCC">
            <w:pPr>
              <w:autoSpaceDE w:val="0"/>
              <w:autoSpaceDN w:val="0"/>
              <w:adjustRightInd w:val="0"/>
              <w:rPr>
                <w:rFonts w:ascii="Arial" w:hAnsi="Arial" w:cs="Arial"/>
                <w:b/>
                <w:sz w:val="20"/>
                <w:szCs w:val="20"/>
              </w:rPr>
            </w:pPr>
            <w:r>
              <w:rPr>
                <w:rFonts w:ascii="Arial" w:hAnsi="Arial" w:cs="Arial"/>
                <w:b/>
                <w:sz w:val="20"/>
                <w:szCs w:val="20"/>
              </w:rPr>
              <w:t>NMD</w:t>
            </w:r>
            <w:r w:rsidR="00EA2713">
              <w:rPr>
                <w:rFonts w:ascii="Arial" w:hAnsi="Arial" w:cs="Arial"/>
                <w:b/>
                <w:sz w:val="20"/>
                <w:szCs w:val="20"/>
              </w:rPr>
              <w:t>*</w:t>
            </w:r>
          </w:p>
        </w:tc>
        <w:tc>
          <w:tcPr>
            <w:tcW w:w="1134"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120,698</w:t>
            </w:r>
          </w:p>
        </w:tc>
        <w:tc>
          <w:tcPr>
            <w:tcW w:w="1559"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79,855</w:t>
            </w:r>
          </w:p>
        </w:tc>
        <w:tc>
          <w:tcPr>
            <w:tcW w:w="1276"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15,729</w:t>
            </w:r>
          </w:p>
        </w:tc>
        <w:tc>
          <w:tcPr>
            <w:tcW w:w="1275"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39,692</w:t>
            </w:r>
          </w:p>
        </w:tc>
        <w:tc>
          <w:tcPr>
            <w:tcW w:w="1276"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13,681</w:t>
            </w:r>
          </w:p>
        </w:tc>
        <w:tc>
          <w:tcPr>
            <w:tcW w:w="1559"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6,766</w:t>
            </w:r>
          </w:p>
        </w:tc>
        <w:tc>
          <w:tcPr>
            <w:tcW w:w="1560"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3,987</w:t>
            </w:r>
          </w:p>
        </w:tc>
      </w:tr>
      <w:tr w:rsidR="00CB3099" w:rsidRPr="00825CCC" w:rsidTr="00CB3099">
        <w:trPr>
          <w:trHeight w:val="300"/>
        </w:trPr>
        <w:tc>
          <w:tcPr>
            <w:tcW w:w="852" w:type="dxa"/>
            <w:shd w:val="clear" w:color="auto" w:fill="D9D9D9" w:themeFill="background1" w:themeFillShade="D9"/>
            <w:noWrap/>
          </w:tcPr>
          <w:p w:rsidR="00CB3099" w:rsidRPr="00184CB4" w:rsidRDefault="00CB3099" w:rsidP="00825CCC">
            <w:pPr>
              <w:autoSpaceDE w:val="0"/>
              <w:autoSpaceDN w:val="0"/>
              <w:adjustRightInd w:val="0"/>
              <w:rPr>
                <w:rFonts w:ascii="Arial" w:hAnsi="Arial" w:cs="Arial"/>
                <w:b/>
                <w:sz w:val="20"/>
                <w:szCs w:val="20"/>
              </w:rPr>
            </w:pPr>
          </w:p>
        </w:tc>
        <w:tc>
          <w:tcPr>
            <w:tcW w:w="1134"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100%</w:t>
            </w:r>
          </w:p>
        </w:tc>
        <w:tc>
          <w:tcPr>
            <w:tcW w:w="1559" w:type="dxa"/>
            <w:noWrap/>
          </w:tcPr>
          <w:p w:rsidR="00CB3099" w:rsidRDefault="00CB3099" w:rsidP="00825CCC">
            <w:pPr>
              <w:autoSpaceDE w:val="0"/>
              <w:autoSpaceDN w:val="0"/>
              <w:adjustRightInd w:val="0"/>
              <w:rPr>
                <w:rFonts w:ascii="Arial" w:hAnsi="Arial" w:cs="Arial"/>
                <w:sz w:val="20"/>
                <w:szCs w:val="20"/>
              </w:rPr>
            </w:pPr>
            <w:r>
              <w:rPr>
                <w:rFonts w:ascii="Arial" w:hAnsi="Arial" w:cs="Arial"/>
                <w:sz w:val="20"/>
                <w:szCs w:val="20"/>
              </w:rPr>
              <w:t>66.30%</w:t>
            </w:r>
          </w:p>
        </w:tc>
        <w:tc>
          <w:tcPr>
            <w:tcW w:w="1276" w:type="dxa"/>
            <w:noWrap/>
          </w:tcPr>
          <w:p w:rsidR="00CB3099" w:rsidRDefault="00CB3099" w:rsidP="00CB3099">
            <w:pPr>
              <w:autoSpaceDE w:val="0"/>
              <w:autoSpaceDN w:val="0"/>
              <w:adjustRightInd w:val="0"/>
              <w:spacing w:line="360" w:lineRule="auto"/>
              <w:rPr>
                <w:rFonts w:ascii="Arial" w:hAnsi="Arial" w:cs="Arial"/>
                <w:sz w:val="20"/>
                <w:szCs w:val="20"/>
              </w:rPr>
            </w:pPr>
            <w:r>
              <w:rPr>
                <w:rFonts w:ascii="Arial" w:hAnsi="Arial" w:cs="Arial"/>
                <w:sz w:val="20"/>
                <w:szCs w:val="20"/>
              </w:rPr>
              <w:t>13.04%</w:t>
            </w:r>
          </w:p>
        </w:tc>
        <w:tc>
          <w:tcPr>
            <w:tcW w:w="1275" w:type="dxa"/>
            <w:noWrap/>
          </w:tcPr>
          <w:p w:rsidR="00CB3099" w:rsidRDefault="00CB3099" w:rsidP="00CB3099">
            <w:pPr>
              <w:autoSpaceDE w:val="0"/>
              <w:autoSpaceDN w:val="0"/>
              <w:adjustRightInd w:val="0"/>
              <w:spacing w:line="360" w:lineRule="auto"/>
              <w:rPr>
                <w:rFonts w:ascii="Arial" w:hAnsi="Arial" w:cs="Arial"/>
                <w:sz w:val="20"/>
                <w:szCs w:val="20"/>
              </w:rPr>
            </w:pPr>
            <w:r>
              <w:rPr>
                <w:rFonts w:ascii="Arial" w:hAnsi="Arial" w:cs="Arial"/>
                <w:sz w:val="20"/>
                <w:szCs w:val="20"/>
              </w:rPr>
              <w:t>33.08%</w:t>
            </w:r>
          </w:p>
        </w:tc>
        <w:tc>
          <w:tcPr>
            <w:tcW w:w="1276" w:type="dxa"/>
            <w:noWrap/>
          </w:tcPr>
          <w:p w:rsidR="00CB3099" w:rsidRDefault="00E471AD" w:rsidP="00825CCC">
            <w:pPr>
              <w:autoSpaceDE w:val="0"/>
              <w:autoSpaceDN w:val="0"/>
              <w:adjustRightInd w:val="0"/>
              <w:rPr>
                <w:rFonts w:ascii="Arial" w:hAnsi="Arial" w:cs="Arial"/>
                <w:sz w:val="20"/>
                <w:szCs w:val="20"/>
              </w:rPr>
            </w:pPr>
            <w:r>
              <w:rPr>
                <w:rFonts w:ascii="Arial" w:hAnsi="Arial" w:cs="Arial"/>
                <w:sz w:val="20"/>
                <w:szCs w:val="20"/>
              </w:rPr>
              <w:t>11.37%</w:t>
            </w:r>
          </w:p>
        </w:tc>
        <w:tc>
          <w:tcPr>
            <w:tcW w:w="1559" w:type="dxa"/>
            <w:noWrap/>
          </w:tcPr>
          <w:p w:rsidR="00CB3099" w:rsidRDefault="00E471AD" w:rsidP="00825CCC">
            <w:pPr>
              <w:autoSpaceDE w:val="0"/>
              <w:autoSpaceDN w:val="0"/>
              <w:adjustRightInd w:val="0"/>
              <w:rPr>
                <w:rFonts w:ascii="Arial" w:hAnsi="Arial" w:cs="Arial"/>
                <w:sz w:val="20"/>
                <w:szCs w:val="20"/>
              </w:rPr>
            </w:pPr>
            <w:r>
              <w:rPr>
                <w:rFonts w:ascii="Arial" w:hAnsi="Arial" w:cs="Arial"/>
                <w:sz w:val="20"/>
                <w:szCs w:val="20"/>
              </w:rPr>
              <w:t>5.50%</w:t>
            </w:r>
          </w:p>
        </w:tc>
        <w:tc>
          <w:tcPr>
            <w:tcW w:w="1560" w:type="dxa"/>
            <w:noWrap/>
          </w:tcPr>
          <w:p w:rsidR="00CB3099" w:rsidRDefault="00E471AD" w:rsidP="00825CCC">
            <w:pPr>
              <w:autoSpaceDE w:val="0"/>
              <w:autoSpaceDN w:val="0"/>
              <w:adjustRightInd w:val="0"/>
              <w:rPr>
                <w:rFonts w:ascii="Arial" w:hAnsi="Arial" w:cs="Arial"/>
                <w:sz w:val="20"/>
                <w:szCs w:val="20"/>
              </w:rPr>
            </w:pPr>
            <w:r>
              <w:rPr>
                <w:rFonts w:ascii="Arial" w:hAnsi="Arial" w:cs="Arial"/>
                <w:sz w:val="20"/>
                <w:szCs w:val="20"/>
              </w:rPr>
              <w:t>3.31%</w:t>
            </w:r>
          </w:p>
        </w:tc>
      </w:tr>
    </w:tbl>
    <w:p w:rsidR="00642D8A" w:rsidRDefault="00642D8A" w:rsidP="005A0E7C">
      <w:pPr>
        <w:autoSpaceDE w:val="0"/>
        <w:autoSpaceDN w:val="0"/>
        <w:adjustRightInd w:val="0"/>
        <w:spacing w:after="0" w:line="240" w:lineRule="auto"/>
        <w:rPr>
          <w:rFonts w:ascii="Arial" w:hAnsi="Arial" w:cs="Arial"/>
          <w:sz w:val="24"/>
          <w:szCs w:val="24"/>
        </w:rPr>
      </w:pPr>
    </w:p>
    <w:p w:rsidR="00275CDE" w:rsidRPr="00E471AD" w:rsidRDefault="00AE6729" w:rsidP="00275CDE">
      <w:pPr>
        <w:autoSpaceDE w:val="0"/>
        <w:autoSpaceDN w:val="0"/>
        <w:adjustRightInd w:val="0"/>
        <w:spacing w:after="0" w:line="240" w:lineRule="auto"/>
        <w:rPr>
          <w:rFonts w:ascii="Arial" w:hAnsi="Arial" w:cs="Arial"/>
          <w:sz w:val="16"/>
          <w:szCs w:val="16"/>
        </w:rPr>
      </w:pPr>
      <w:r w:rsidRPr="00E8017B">
        <w:rPr>
          <w:rFonts w:ascii="Arial" w:hAnsi="Arial" w:cs="Arial"/>
          <w:sz w:val="16"/>
          <w:szCs w:val="16"/>
        </w:rPr>
        <w:t>Source: NISRA Census 201</w:t>
      </w:r>
      <w:r w:rsidR="00E471AD">
        <w:rPr>
          <w:rFonts w:ascii="Arial" w:hAnsi="Arial" w:cs="Arial"/>
          <w:sz w:val="16"/>
          <w:szCs w:val="16"/>
        </w:rPr>
        <w:t>1 Economic Activity: KS601NI (a</w:t>
      </w:r>
      <w:r w:rsidR="00E6676E" w:rsidRPr="00E8017B">
        <w:rPr>
          <w:rFonts w:ascii="Arial" w:hAnsi="Arial" w:cs="Arial"/>
          <w:sz w:val="16"/>
          <w:szCs w:val="16"/>
        </w:rPr>
        <w:t>dministrative geographies)</w:t>
      </w:r>
    </w:p>
    <w:p w:rsidR="00275CDE" w:rsidRPr="00E8017B" w:rsidRDefault="00E471AD" w:rsidP="005A0E7C">
      <w:pPr>
        <w:autoSpaceDE w:val="0"/>
        <w:autoSpaceDN w:val="0"/>
        <w:adjustRightInd w:val="0"/>
        <w:spacing w:after="0" w:line="240" w:lineRule="auto"/>
        <w:rPr>
          <w:rFonts w:ascii="Arial" w:hAnsi="Arial" w:cs="Arial"/>
          <w:sz w:val="16"/>
          <w:szCs w:val="16"/>
        </w:rPr>
      </w:pPr>
      <w:r w:rsidRPr="00E471AD">
        <w:rPr>
          <w:rFonts w:ascii="Arial" w:hAnsi="Arial" w:cs="Arial"/>
          <w:sz w:val="16"/>
          <w:szCs w:val="16"/>
        </w:rPr>
        <w:t>* NMD is a basic total of the two LGD figures and the percentage an average of the two districts.</w:t>
      </w:r>
    </w:p>
    <w:p w:rsidR="00642D8A" w:rsidRDefault="00642D8A" w:rsidP="005A0E7C">
      <w:pPr>
        <w:autoSpaceDE w:val="0"/>
        <w:autoSpaceDN w:val="0"/>
        <w:adjustRightInd w:val="0"/>
        <w:spacing w:after="0" w:line="240" w:lineRule="auto"/>
        <w:rPr>
          <w:rFonts w:ascii="Arial" w:hAnsi="Arial" w:cs="Arial"/>
          <w:sz w:val="24"/>
          <w:szCs w:val="24"/>
        </w:rPr>
      </w:pPr>
    </w:p>
    <w:p w:rsidR="004E717A" w:rsidRPr="00132AF8" w:rsidRDefault="001B0BCA"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3.20</w:t>
      </w:r>
      <w:r w:rsidRPr="00132AF8">
        <w:rPr>
          <w:rFonts w:ascii="Tahoma" w:hAnsi="Tahoma" w:cs="Tahoma"/>
          <w:sz w:val="24"/>
          <w:szCs w:val="24"/>
        </w:rPr>
        <w:t xml:space="preserve"> </w:t>
      </w:r>
      <w:r w:rsidR="00866BF0">
        <w:rPr>
          <w:rFonts w:ascii="Tahoma" w:hAnsi="Tahoma" w:cs="Tahoma"/>
          <w:sz w:val="24"/>
          <w:szCs w:val="24"/>
        </w:rPr>
        <w:tab/>
      </w:r>
      <w:r w:rsidR="004E717A" w:rsidRPr="00132AF8">
        <w:rPr>
          <w:rFonts w:ascii="Tahoma" w:hAnsi="Tahoma" w:cs="Tahoma"/>
          <w:sz w:val="24"/>
          <w:szCs w:val="24"/>
        </w:rPr>
        <w:t xml:space="preserve">There </w:t>
      </w:r>
      <w:proofErr w:type="gramStart"/>
      <w:r w:rsidR="004E717A" w:rsidRPr="00132AF8">
        <w:rPr>
          <w:rFonts w:ascii="Tahoma" w:hAnsi="Tahoma" w:cs="Tahoma"/>
          <w:sz w:val="24"/>
          <w:szCs w:val="24"/>
        </w:rPr>
        <w:t>is</w:t>
      </w:r>
      <w:proofErr w:type="gramEnd"/>
      <w:r w:rsidR="004E717A" w:rsidRPr="00132AF8">
        <w:rPr>
          <w:rFonts w:ascii="Tahoma" w:hAnsi="Tahoma" w:cs="Tahoma"/>
          <w:sz w:val="24"/>
          <w:szCs w:val="24"/>
        </w:rPr>
        <w:t xml:space="preserve"> a higher proportion of people in </w:t>
      </w:r>
      <w:proofErr w:type="spellStart"/>
      <w:r w:rsidR="004E717A" w:rsidRPr="00132AF8">
        <w:rPr>
          <w:rFonts w:ascii="Tahoma" w:hAnsi="Tahoma" w:cs="Tahoma"/>
          <w:sz w:val="24"/>
          <w:szCs w:val="24"/>
        </w:rPr>
        <w:t>self employment</w:t>
      </w:r>
      <w:proofErr w:type="spellEnd"/>
      <w:r w:rsidR="004E717A" w:rsidRPr="00132AF8">
        <w:rPr>
          <w:rFonts w:ascii="Tahoma" w:hAnsi="Tahoma" w:cs="Tahoma"/>
          <w:sz w:val="24"/>
          <w:szCs w:val="24"/>
        </w:rPr>
        <w:t xml:space="preserve"> than there is for </w:t>
      </w:r>
      <w:r w:rsidR="00275CDE" w:rsidRPr="00132AF8">
        <w:rPr>
          <w:rFonts w:ascii="Tahoma" w:hAnsi="Tahoma" w:cs="Tahoma"/>
          <w:sz w:val="24"/>
          <w:szCs w:val="24"/>
        </w:rPr>
        <w:t>N</w:t>
      </w:r>
      <w:r w:rsidR="004E717A" w:rsidRPr="00132AF8">
        <w:rPr>
          <w:rFonts w:ascii="Tahoma" w:hAnsi="Tahoma" w:cs="Tahoma"/>
          <w:sz w:val="24"/>
          <w:szCs w:val="24"/>
        </w:rPr>
        <w:t xml:space="preserve">orthern Ireland generally, around </w:t>
      </w:r>
      <w:r w:rsidR="00AE6729" w:rsidRPr="00132AF8">
        <w:rPr>
          <w:rFonts w:ascii="Tahoma" w:hAnsi="Tahoma" w:cs="Tahoma"/>
          <w:sz w:val="24"/>
          <w:szCs w:val="24"/>
        </w:rPr>
        <w:t>11.37</w:t>
      </w:r>
      <w:r w:rsidR="00435847">
        <w:rPr>
          <w:rFonts w:ascii="Tahoma" w:hAnsi="Tahoma" w:cs="Tahoma"/>
          <w:sz w:val="24"/>
          <w:szCs w:val="24"/>
        </w:rPr>
        <w:t xml:space="preserve">% for Newry, </w:t>
      </w:r>
      <w:proofErr w:type="spellStart"/>
      <w:r w:rsidR="00435847">
        <w:rPr>
          <w:rFonts w:ascii="Tahoma" w:hAnsi="Tahoma" w:cs="Tahoma"/>
          <w:sz w:val="24"/>
          <w:szCs w:val="24"/>
        </w:rPr>
        <w:t>Mourne</w:t>
      </w:r>
      <w:proofErr w:type="spellEnd"/>
      <w:r w:rsidR="00435847">
        <w:rPr>
          <w:rFonts w:ascii="Tahoma" w:hAnsi="Tahoma" w:cs="Tahoma"/>
          <w:sz w:val="24"/>
          <w:szCs w:val="24"/>
        </w:rPr>
        <w:t xml:space="preserve"> and Down</w:t>
      </w:r>
      <w:r w:rsidR="004E717A" w:rsidRPr="00132AF8">
        <w:rPr>
          <w:rFonts w:ascii="Tahoma" w:hAnsi="Tahoma" w:cs="Tahoma"/>
          <w:sz w:val="24"/>
          <w:szCs w:val="24"/>
        </w:rPr>
        <w:t xml:space="preserve"> and around </w:t>
      </w:r>
      <w:r w:rsidR="00AE6729" w:rsidRPr="00132AF8">
        <w:rPr>
          <w:rFonts w:ascii="Tahoma" w:hAnsi="Tahoma" w:cs="Tahoma"/>
          <w:sz w:val="24"/>
          <w:szCs w:val="24"/>
        </w:rPr>
        <w:t>8.88</w:t>
      </w:r>
      <w:r w:rsidR="004E717A" w:rsidRPr="00132AF8">
        <w:rPr>
          <w:rFonts w:ascii="Tahoma" w:hAnsi="Tahoma" w:cs="Tahoma"/>
          <w:sz w:val="24"/>
          <w:szCs w:val="24"/>
        </w:rPr>
        <w:t xml:space="preserve">% for </w:t>
      </w:r>
      <w:r w:rsidR="00275CDE" w:rsidRPr="00132AF8">
        <w:rPr>
          <w:rFonts w:ascii="Tahoma" w:hAnsi="Tahoma" w:cs="Tahoma"/>
          <w:sz w:val="24"/>
          <w:szCs w:val="24"/>
        </w:rPr>
        <w:t>N</w:t>
      </w:r>
      <w:r w:rsidR="004E717A" w:rsidRPr="00132AF8">
        <w:rPr>
          <w:rFonts w:ascii="Tahoma" w:hAnsi="Tahoma" w:cs="Tahoma"/>
          <w:sz w:val="24"/>
          <w:szCs w:val="24"/>
        </w:rPr>
        <w:t xml:space="preserve">orthern Ireland. </w:t>
      </w:r>
      <w:r w:rsidR="00784318" w:rsidRPr="00132AF8">
        <w:rPr>
          <w:rFonts w:ascii="Tahoma" w:hAnsi="Tahoma" w:cs="Tahoma"/>
          <w:sz w:val="24"/>
          <w:szCs w:val="24"/>
        </w:rPr>
        <w:t xml:space="preserve">The area has the </w:t>
      </w:r>
      <w:r w:rsidR="00AE6729" w:rsidRPr="00132AF8">
        <w:rPr>
          <w:rFonts w:ascii="Tahoma" w:hAnsi="Tahoma" w:cs="Tahoma"/>
          <w:sz w:val="24"/>
          <w:szCs w:val="24"/>
        </w:rPr>
        <w:t>second</w:t>
      </w:r>
      <w:r w:rsidR="00784318" w:rsidRPr="00132AF8">
        <w:rPr>
          <w:rFonts w:ascii="Tahoma" w:hAnsi="Tahoma" w:cs="Tahoma"/>
          <w:sz w:val="24"/>
          <w:szCs w:val="24"/>
        </w:rPr>
        <w:t xml:space="preserve"> highest share of self employed in the economically active population across the 11 councils</w:t>
      </w:r>
      <w:r w:rsidR="001A5D6E" w:rsidRPr="00132AF8">
        <w:rPr>
          <w:rStyle w:val="FootnoteReference"/>
          <w:rFonts w:ascii="Tahoma" w:hAnsi="Tahoma" w:cs="Tahoma"/>
          <w:sz w:val="24"/>
          <w:szCs w:val="24"/>
        </w:rPr>
        <w:footnoteReference w:id="16"/>
      </w:r>
      <w:r w:rsidR="00784318" w:rsidRPr="00132AF8">
        <w:rPr>
          <w:rFonts w:ascii="Tahoma" w:hAnsi="Tahoma" w:cs="Tahoma"/>
          <w:sz w:val="24"/>
          <w:szCs w:val="24"/>
        </w:rPr>
        <w:t xml:space="preserve">. </w:t>
      </w:r>
      <w:r w:rsidR="004E717A" w:rsidRPr="00132AF8">
        <w:rPr>
          <w:rFonts w:ascii="Tahoma" w:hAnsi="Tahoma" w:cs="Tahoma"/>
          <w:sz w:val="24"/>
          <w:szCs w:val="24"/>
        </w:rPr>
        <w:t>This is indicative of the strong entrepreneurial spirit in the area.</w:t>
      </w:r>
    </w:p>
    <w:p w:rsidR="00DD34BD" w:rsidRPr="00132AF8" w:rsidRDefault="00DD34BD" w:rsidP="008E411D">
      <w:pPr>
        <w:autoSpaceDE w:val="0"/>
        <w:autoSpaceDN w:val="0"/>
        <w:adjustRightInd w:val="0"/>
        <w:spacing w:after="0" w:line="240" w:lineRule="auto"/>
        <w:jc w:val="both"/>
        <w:rPr>
          <w:rFonts w:ascii="Tahoma" w:hAnsi="Tahoma" w:cs="Tahoma"/>
          <w:sz w:val="24"/>
          <w:szCs w:val="24"/>
        </w:rPr>
      </w:pPr>
    </w:p>
    <w:p w:rsidR="005A0E7C" w:rsidRPr="00132AF8" w:rsidRDefault="001B0BCA"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3.2</w:t>
      </w:r>
      <w:r w:rsidR="002C0A05" w:rsidRPr="00132AF8">
        <w:rPr>
          <w:rFonts w:ascii="Tahoma" w:hAnsi="Tahoma" w:cs="Tahoma"/>
          <w:b/>
          <w:bCs/>
          <w:sz w:val="24"/>
          <w:szCs w:val="24"/>
        </w:rPr>
        <w:t xml:space="preserve">1 </w:t>
      </w:r>
      <w:r w:rsidR="00866BF0">
        <w:rPr>
          <w:rFonts w:ascii="Tahoma" w:hAnsi="Tahoma" w:cs="Tahoma"/>
          <w:b/>
          <w:bCs/>
          <w:sz w:val="24"/>
          <w:szCs w:val="24"/>
        </w:rPr>
        <w:tab/>
      </w:r>
      <w:r w:rsidR="002C0A05" w:rsidRPr="00132AF8">
        <w:rPr>
          <w:rFonts w:ascii="Tahoma" w:hAnsi="Tahoma" w:cs="Tahoma"/>
          <w:sz w:val="24"/>
          <w:szCs w:val="24"/>
        </w:rPr>
        <w:t>In Northern Ireland, a total of 402,000 women were economically active in April - June 2014 – an increase of 12,000 during the last year. The female working age economic activity rate here of 66.8% was 5.6 percentage points lower than that in GB (72.4%). At 66.8% the working age economic activity rate for females was 12.9 percentage points lower than that for NI males (79.8%). The difference in economic activity rate between males and females is less than that of five years ago when the difference was 13.5 percentage points</w:t>
      </w:r>
      <w:r w:rsidR="005D7308" w:rsidRPr="00132AF8">
        <w:rPr>
          <w:rFonts w:ascii="Tahoma" w:hAnsi="Tahoma" w:cs="Tahoma"/>
          <w:sz w:val="24"/>
          <w:szCs w:val="24"/>
        </w:rPr>
        <w:t>.</w:t>
      </w:r>
      <w:r w:rsidR="002C0A05" w:rsidRPr="00132AF8">
        <w:rPr>
          <w:rFonts w:ascii="Tahoma" w:hAnsi="Tahoma" w:cs="Tahoma"/>
          <w:sz w:val="24"/>
          <w:szCs w:val="24"/>
        </w:rPr>
        <w:t xml:space="preserve"> In terms of </w:t>
      </w:r>
      <w:r w:rsidR="00A46550" w:rsidRPr="00132AF8">
        <w:rPr>
          <w:rFonts w:ascii="Tahoma" w:hAnsi="Tahoma" w:cs="Tahoma"/>
          <w:sz w:val="24"/>
          <w:szCs w:val="24"/>
        </w:rPr>
        <w:t>the employment makeup of the two genders,</w:t>
      </w:r>
      <w:r w:rsidR="002C0A05" w:rsidRPr="00132AF8">
        <w:rPr>
          <w:rFonts w:ascii="Tahoma" w:hAnsi="Tahoma" w:cs="Tahoma"/>
          <w:sz w:val="24"/>
          <w:szCs w:val="24"/>
        </w:rPr>
        <w:t xml:space="preserve"> </w:t>
      </w:r>
      <w:r w:rsidR="00440C78" w:rsidRPr="00132AF8">
        <w:rPr>
          <w:rFonts w:ascii="Tahoma" w:hAnsi="Tahoma" w:cs="Tahoma"/>
          <w:sz w:val="24"/>
          <w:szCs w:val="24"/>
        </w:rPr>
        <w:t>almost 48</w:t>
      </w:r>
      <w:r w:rsidR="002C0A05" w:rsidRPr="00132AF8">
        <w:rPr>
          <w:rFonts w:ascii="Tahoma" w:hAnsi="Tahoma" w:cs="Tahoma"/>
          <w:sz w:val="24"/>
          <w:szCs w:val="24"/>
        </w:rPr>
        <w:t xml:space="preserve">% of females in </w:t>
      </w:r>
      <w:r w:rsidR="00EA2713">
        <w:rPr>
          <w:rFonts w:ascii="Tahoma" w:hAnsi="Tahoma" w:cs="Tahoma"/>
          <w:sz w:val="24"/>
          <w:szCs w:val="24"/>
        </w:rPr>
        <w:t xml:space="preserve">Newry, </w:t>
      </w:r>
      <w:proofErr w:type="spellStart"/>
      <w:r w:rsidR="00EA2713">
        <w:rPr>
          <w:rFonts w:ascii="Tahoma" w:hAnsi="Tahoma" w:cs="Tahoma"/>
          <w:sz w:val="24"/>
          <w:szCs w:val="24"/>
        </w:rPr>
        <w:t>Mourne</w:t>
      </w:r>
      <w:proofErr w:type="spellEnd"/>
      <w:r w:rsidR="00EA2713">
        <w:rPr>
          <w:rFonts w:ascii="Tahoma" w:hAnsi="Tahoma" w:cs="Tahoma"/>
          <w:sz w:val="24"/>
          <w:szCs w:val="24"/>
        </w:rPr>
        <w:t xml:space="preserve"> and </w:t>
      </w:r>
      <w:proofErr w:type="gramStart"/>
      <w:r w:rsidR="00EA2713">
        <w:rPr>
          <w:rFonts w:ascii="Tahoma" w:hAnsi="Tahoma" w:cs="Tahoma"/>
          <w:sz w:val="24"/>
          <w:szCs w:val="24"/>
        </w:rPr>
        <w:t>Down</w:t>
      </w:r>
      <w:proofErr w:type="gramEnd"/>
      <w:r w:rsidR="002C0A05" w:rsidRPr="00132AF8">
        <w:rPr>
          <w:rFonts w:ascii="Tahoma" w:hAnsi="Tahoma" w:cs="Tahoma"/>
          <w:sz w:val="24"/>
          <w:szCs w:val="24"/>
        </w:rPr>
        <w:t xml:space="preserve"> work in </w:t>
      </w:r>
      <w:r w:rsidR="00990A83" w:rsidRPr="00132AF8">
        <w:rPr>
          <w:rFonts w:ascii="Tahoma" w:hAnsi="Tahoma" w:cs="Tahoma"/>
          <w:sz w:val="24"/>
          <w:szCs w:val="24"/>
        </w:rPr>
        <w:t xml:space="preserve">the </w:t>
      </w:r>
      <w:r w:rsidR="00440C78" w:rsidRPr="00132AF8">
        <w:rPr>
          <w:rFonts w:ascii="Tahoma" w:hAnsi="Tahoma" w:cs="Tahoma"/>
          <w:sz w:val="24"/>
          <w:szCs w:val="24"/>
        </w:rPr>
        <w:t xml:space="preserve">public sector </w:t>
      </w:r>
      <w:r w:rsidR="00990A83" w:rsidRPr="00132AF8">
        <w:rPr>
          <w:rFonts w:ascii="Tahoma" w:hAnsi="Tahoma" w:cs="Tahoma"/>
          <w:sz w:val="24"/>
          <w:szCs w:val="24"/>
        </w:rPr>
        <w:t>areas of administration</w:t>
      </w:r>
      <w:r w:rsidR="00440C78" w:rsidRPr="00132AF8">
        <w:rPr>
          <w:rFonts w:ascii="Tahoma" w:hAnsi="Tahoma" w:cs="Tahoma"/>
          <w:sz w:val="24"/>
          <w:szCs w:val="24"/>
        </w:rPr>
        <w:t>, education and health</w:t>
      </w:r>
      <w:r w:rsidR="00735490" w:rsidRPr="00132AF8">
        <w:rPr>
          <w:rFonts w:ascii="Tahoma" w:hAnsi="Tahoma" w:cs="Tahoma"/>
          <w:sz w:val="24"/>
          <w:szCs w:val="24"/>
        </w:rPr>
        <w:t xml:space="preserve"> with a</w:t>
      </w:r>
      <w:r w:rsidR="00440C78" w:rsidRPr="00132AF8">
        <w:rPr>
          <w:rFonts w:ascii="Tahoma" w:hAnsi="Tahoma" w:cs="Tahoma"/>
          <w:sz w:val="24"/>
          <w:szCs w:val="24"/>
        </w:rPr>
        <w:t xml:space="preserve"> further 20% of females work</w:t>
      </w:r>
      <w:r w:rsidR="00735490" w:rsidRPr="00132AF8">
        <w:rPr>
          <w:rFonts w:ascii="Tahoma" w:hAnsi="Tahoma" w:cs="Tahoma"/>
          <w:sz w:val="24"/>
          <w:szCs w:val="24"/>
        </w:rPr>
        <w:t>ing</w:t>
      </w:r>
      <w:r w:rsidR="00440C78" w:rsidRPr="00132AF8">
        <w:rPr>
          <w:rFonts w:ascii="Tahoma" w:hAnsi="Tahoma" w:cs="Tahoma"/>
          <w:sz w:val="24"/>
          <w:szCs w:val="24"/>
        </w:rPr>
        <w:t xml:space="preserve"> in retail.</w:t>
      </w:r>
      <w:r w:rsidR="002C0A05" w:rsidRPr="00132AF8">
        <w:rPr>
          <w:rFonts w:ascii="Tahoma" w:hAnsi="Tahoma" w:cs="Tahoma"/>
          <w:sz w:val="24"/>
          <w:szCs w:val="24"/>
        </w:rPr>
        <w:t xml:space="preserve"> In contrast, </w:t>
      </w:r>
      <w:r w:rsidR="00990A83" w:rsidRPr="00132AF8">
        <w:rPr>
          <w:rFonts w:ascii="Tahoma" w:hAnsi="Tahoma" w:cs="Tahoma"/>
          <w:sz w:val="24"/>
          <w:szCs w:val="24"/>
        </w:rPr>
        <w:t>over</w:t>
      </w:r>
      <w:r w:rsidR="002C0A05" w:rsidRPr="00132AF8">
        <w:rPr>
          <w:rFonts w:ascii="Tahoma" w:hAnsi="Tahoma" w:cs="Tahoma"/>
          <w:sz w:val="24"/>
          <w:szCs w:val="24"/>
        </w:rPr>
        <w:t xml:space="preserve"> </w:t>
      </w:r>
      <w:r w:rsidR="00735490" w:rsidRPr="00132AF8">
        <w:rPr>
          <w:rFonts w:ascii="Tahoma" w:hAnsi="Tahoma" w:cs="Tahoma"/>
          <w:sz w:val="24"/>
          <w:szCs w:val="24"/>
        </w:rPr>
        <w:t>30</w:t>
      </w:r>
      <w:r w:rsidR="002C0A05" w:rsidRPr="00132AF8">
        <w:rPr>
          <w:rFonts w:ascii="Tahoma" w:hAnsi="Tahoma" w:cs="Tahoma"/>
          <w:sz w:val="24"/>
          <w:szCs w:val="24"/>
        </w:rPr>
        <w:t>% of males</w:t>
      </w:r>
      <w:r w:rsidR="00EA2713">
        <w:rPr>
          <w:rFonts w:ascii="Tahoma" w:hAnsi="Tahoma" w:cs="Tahoma"/>
          <w:sz w:val="24"/>
          <w:szCs w:val="24"/>
        </w:rPr>
        <w:t xml:space="preserve"> in Newry, </w:t>
      </w:r>
      <w:proofErr w:type="spellStart"/>
      <w:r w:rsidR="00EA2713">
        <w:rPr>
          <w:rFonts w:ascii="Tahoma" w:hAnsi="Tahoma" w:cs="Tahoma"/>
          <w:sz w:val="24"/>
          <w:szCs w:val="24"/>
        </w:rPr>
        <w:t>Mourne</w:t>
      </w:r>
      <w:proofErr w:type="spellEnd"/>
      <w:r w:rsidR="00EA2713">
        <w:rPr>
          <w:rFonts w:ascii="Tahoma" w:hAnsi="Tahoma" w:cs="Tahoma"/>
          <w:sz w:val="24"/>
          <w:szCs w:val="24"/>
        </w:rPr>
        <w:t xml:space="preserve"> and </w:t>
      </w:r>
      <w:proofErr w:type="gramStart"/>
      <w:r w:rsidR="00EA2713">
        <w:rPr>
          <w:rFonts w:ascii="Tahoma" w:hAnsi="Tahoma" w:cs="Tahoma"/>
          <w:sz w:val="24"/>
          <w:szCs w:val="24"/>
        </w:rPr>
        <w:t>Down</w:t>
      </w:r>
      <w:proofErr w:type="gramEnd"/>
      <w:r w:rsidR="002C0A05" w:rsidRPr="00132AF8">
        <w:rPr>
          <w:rFonts w:ascii="Tahoma" w:hAnsi="Tahoma" w:cs="Tahoma"/>
          <w:sz w:val="24"/>
          <w:szCs w:val="24"/>
        </w:rPr>
        <w:t xml:space="preserve"> are</w:t>
      </w:r>
      <w:r w:rsidR="00A46550" w:rsidRPr="00132AF8">
        <w:rPr>
          <w:rFonts w:ascii="Tahoma" w:hAnsi="Tahoma" w:cs="Tahoma"/>
          <w:sz w:val="24"/>
          <w:szCs w:val="24"/>
        </w:rPr>
        <w:t xml:space="preserve"> </w:t>
      </w:r>
      <w:r w:rsidR="002C0A05" w:rsidRPr="00132AF8">
        <w:rPr>
          <w:rFonts w:ascii="Tahoma" w:hAnsi="Tahoma" w:cs="Tahoma"/>
          <w:sz w:val="24"/>
          <w:szCs w:val="24"/>
        </w:rPr>
        <w:t xml:space="preserve">employed in </w:t>
      </w:r>
      <w:r w:rsidR="00735490" w:rsidRPr="00132AF8">
        <w:rPr>
          <w:rFonts w:ascii="Tahoma" w:hAnsi="Tahoma" w:cs="Tahoma"/>
          <w:sz w:val="24"/>
          <w:szCs w:val="24"/>
        </w:rPr>
        <w:t>the</w:t>
      </w:r>
      <w:r w:rsidR="00990A83" w:rsidRPr="00132AF8">
        <w:rPr>
          <w:rFonts w:ascii="Tahoma" w:hAnsi="Tahoma" w:cs="Tahoma"/>
          <w:sz w:val="24"/>
          <w:szCs w:val="24"/>
        </w:rPr>
        <w:t xml:space="preserve"> </w:t>
      </w:r>
      <w:r w:rsidR="00735490" w:rsidRPr="00132AF8">
        <w:rPr>
          <w:rFonts w:ascii="Tahoma" w:hAnsi="Tahoma" w:cs="Tahoma"/>
          <w:sz w:val="24"/>
          <w:szCs w:val="24"/>
        </w:rPr>
        <w:t xml:space="preserve">manufacturing and construction industries with a further 23% working in </w:t>
      </w:r>
      <w:r w:rsidR="00440C78" w:rsidRPr="00132AF8">
        <w:rPr>
          <w:rFonts w:ascii="Tahoma" w:hAnsi="Tahoma" w:cs="Tahoma"/>
          <w:sz w:val="24"/>
          <w:szCs w:val="24"/>
        </w:rPr>
        <w:t xml:space="preserve">retail. </w:t>
      </w:r>
      <w:r w:rsidR="002C0A05" w:rsidRPr="00132AF8">
        <w:rPr>
          <w:rFonts w:ascii="Tahoma" w:hAnsi="Tahoma" w:cs="Tahoma"/>
          <w:sz w:val="24"/>
          <w:szCs w:val="24"/>
        </w:rPr>
        <w:t>A</w:t>
      </w:r>
      <w:r w:rsidR="00401ABD" w:rsidRPr="00132AF8">
        <w:rPr>
          <w:rFonts w:ascii="Tahoma" w:hAnsi="Tahoma" w:cs="Tahoma"/>
          <w:sz w:val="24"/>
          <w:szCs w:val="24"/>
        </w:rPr>
        <w:t xml:space="preserve">pproximately </w:t>
      </w:r>
      <w:r w:rsidR="00DB5F02" w:rsidRPr="00132AF8">
        <w:rPr>
          <w:rFonts w:ascii="Tahoma" w:hAnsi="Tahoma" w:cs="Tahoma"/>
          <w:sz w:val="24"/>
          <w:szCs w:val="24"/>
        </w:rPr>
        <w:t>51</w:t>
      </w:r>
      <w:r w:rsidR="002C0A05" w:rsidRPr="00132AF8">
        <w:rPr>
          <w:rFonts w:ascii="Tahoma" w:hAnsi="Tahoma" w:cs="Tahoma"/>
          <w:sz w:val="24"/>
          <w:szCs w:val="24"/>
        </w:rPr>
        <w:t>% (</w:t>
      </w:r>
      <w:r w:rsidR="00DB5F02" w:rsidRPr="00132AF8">
        <w:rPr>
          <w:rFonts w:ascii="Tahoma" w:hAnsi="Tahoma" w:cs="Tahoma"/>
          <w:sz w:val="24"/>
          <w:szCs w:val="24"/>
        </w:rPr>
        <w:t>14,481</w:t>
      </w:r>
      <w:r w:rsidR="002C0A05" w:rsidRPr="00132AF8">
        <w:rPr>
          <w:rFonts w:ascii="Tahoma" w:hAnsi="Tahoma" w:cs="Tahoma"/>
          <w:sz w:val="24"/>
          <w:szCs w:val="24"/>
        </w:rPr>
        <w:t xml:space="preserve">) of women in </w:t>
      </w:r>
      <w:r w:rsidR="00DB5F02" w:rsidRPr="00132AF8">
        <w:rPr>
          <w:rFonts w:ascii="Tahoma" w:hAnsi="Tahoma" w:cs="Tahoma"/>
          <w:sz w:val="24"/>
          <w:szCs w:val="24"/>
        </w:rPr>
        <w:t xml:space="preserve">Newry, </w:t>
      </w:r>
      <w:proofErr w:type="spellStart"/>
      <w:r w:rsidR="00DB5F02" w:rsidRPr="00132AF8">
        <w:rPr>
          <w:rFonts w:ascii="Tahoma" w:hAnsi="Tahoma" w:cs="Tahoma"/>
          <w:sz w:val="24"/>
          <w:szCs w:val="24"/>
        </w:rPr>
        <w:lastRenderedPageBreak/>
        <w:t>Mourne</w:t>
      </w:r>
      <w:proofErr w:type="spellEnd"/>
      <w:r w:rsidR="00DB5F02" w:rsidRPr="00132AF8">
        <w:rPr>
          <w:rFonts w:ascii="Tahoma" w:hAnsi="Tahoma" w:cs="Tahoma"/>
          <w:sz w:val="24"/>
          <w:szCs w:val="24"/>
        </w:rPr>
        <w:t xml:space="preserve"> and </w:t>
      </w:r>
      <w:proofErr w:type="gramStart"/>
      <w:r w:rsidR="00DB5F02" w:rsidRPr="00132AF8">
        <w:rPr>
          <w:rFonts w:ascii="Tahoma" w:hAnsi="Tahoma" w:cs="Tahoma"/>
          <w:sz w:val="24"/>
          <w:szCs w:val="24"/>
        </w:rPr>
        <w:t>Down</w:t>
      </w:r>
      <w:proofErr w:type="gramEnd"/>
      <w:r w:rsidR="002C0A05" w:rsidRPr="00132AF8">
        <w:rPr>
          <w:rFonts w:ascii="Tahoma" w:hAnsi="Tahoma" w:cs="Tahoma"/>
          <w:sz w:val="24"/>
          <w:szCs w:val="24"/>
        </w:rPr>
        <w:t xml:space="preserve"> are in part-time jobs compared</w:t>
      </w:r>
      <w:r w:rsidR="0095201E" w:rsidRPr="00132AF8">
        <w:rPr>
          <w:rFonts w:ascii="Tahoma" w:hAnsi="Tahoma" w:cs="Tahoma"/>
          <w:sz w:val="24"/>
          <w:szCs w:val="24"/>
        </w:rPr>
        <w:t xml:space="preserve"> to</w:t>
      </w:r>
      <w:r w:rsidR="002C0A05" w:rsidRPr="00132AF8">
        <w:rPr>
          <w:rFonts w:ascii="Tahoma" w:hAnsi="Tahoma" w:cs="Tahoma"/>
          <w:sz w:val="24"/>
          <w:szCs w:val="24"/>
        </w:rPr>
        <w:t xml:space="preserve"> </w:t>
      </w:r>
      <w:r w:rsidR="00E52B69" w:rsidRPr="00132AF8">
        <w:rPr>
          <w:rFonts w:ascii="Tahoma" w:hAnsi="Tahoma" w:cs="Tahoma"/>
          <w:sz w:val="24"/>
          <w:szCs w:val="24"/>
        </w:rPr>
        <w:t xml:space="preserve">approximately </w:t>
      </w:r>
      <w:r w:rsidR="00DB5F02" w:rsidRPr="00132AF8">
        <w:rPr>
          <w:rFonts w:ascii="Tahoma" w:hAnsi="Tahoma" w:cs="Tahoma"/>
          <w:sz w:val="24"/>
          <w:szCs w:val="24"/>
        </w:rPr>
        <w:t>21</w:t>
      </w:r>
      <w:r w:rsidR="002C0A05" w:rsidRPr="00132AF8">
        <w:rPr>
          <w:rFonts w:ascii="Tahoma" w:hAnsi="Tahoma" w:cs="Tahoma"/>
          <w:sz w:val="24"/>
          <w:szCs w:val="24"/>
        </w:rPr>
        <w:t>% (</w:t>
      </w:r>
      <w:r w:rsidR="00DB5F02" w:rsidRPr="00132AF8">
        <w:rPr>
          <w:rFonts w:ascii="Tahoma" w:hAnsi="Tahoma" w:cs="Tahoma"/>
          <w:sz w:val="24"/>
          <w:szCs w:val="24"/>
        </w:rPr>
        <w:t>4,968</w:t>
      </w:r>
      <w:r w:rsidR="002C0A05" w:rsidRPr="00132AF8">
        <w:rPr>
          <w:rFonts w:ascii="Tahoma" w:hAnsi="Tahoma" w:cs="Tahoma"/>
          <w:sz w:val="24"/>
          <w:szCs w:val="24"/>
        </w:rPr>
        <w:t>) of men</w:t>
      </w:r>
      <w:r w:rsidR="00B83CC6" w:rsidRPr="00132AF8">
        <w:rPr>
          <w:rStyle w:val="FootnoteReference"/>
          <w:rFonts w:ascii="Tahoma" w:hAnsi="Tahoma" w:cs="Tahoma"/>
          <w:sz w:val="24"/>
          <w:szCs w:val="24"/>
        </w:rPr>
        <w:footnoteReference w:id="17"/>
      </w:r>
      <w:r w:rsidR="002C0A05" w:rsidRPr="00132AF8">
        <w:rPr>
          <w:rFonts w:ascii="Tahoma" w:hAnsi="Tahoma" w:cs="Tahoma"/>
          <w:sz w:val="24"/>
          <w:szCs w:val="24"/>
        </w:rPr>
        <w:t xml:space="preserve">. The predominance of females in part-time work is reflected in the 2013 gross average weekly wage for </w:t>
      </w:r>
      <w:r w:rsidR="00896316" w:rsidRPr="00132AF8">
        <w:rPr>
          <w:rFonts w:ascii="Tahoma" w:hAnsi="Tahoma" w:cs="Tahoma"/>
          <w:sz w:val="24"/>
          <w:szCs w:val="24"/>
        </w:rPr>
        <w:t>the two</w:t>
      </w:r>
      <w:r w:rsidR="00657EFE" w:rsidRPr="00132AF8">
        <w:rPr>
          <w:rFonts w:ascii="Tahoma" w:hAnsi="Tahoma" w:cs="Tahoma"/>
          <w:sz w:val="24"/>
          <w:szCs w:val="24"/>
        </w:rPr>
        <w:t xml:space="preserve"> districts where</w:t>
      </w:r>
      <w:r w:rsidR="002C0A05" w:rsidRPr="00132AF8">
        <w:rPr>
          <w:rFonts w:ascii="Tahoma" w:hAnsi="Tahoma" w:cs="Tahoma"/>
          <w:sz w:val="24"/>
          <w:szCs w:val="24"/>
        </w:rPr>
        <w:t xml:space="preserve"> woman were paid a</w:t>
      </w:r>
      <w:r w:rsidR="00657EFE" w:rsidRPr="00132AF8">
        <w:rPr>
          <w:rFonts w:ascii="Tahoma" w:hAnsi="Tahoma" w:cs="Tahoma"/>
          <w:sz w:val="24"/>
          <w:szCs w:val="24"/>
        </w:rPr>
        <w:t xml:space="preserve"> lower</w:t>
      </w:r>
      <w:r w:rsidR="002C0A05" w:rsidRPr="00132AF8">
        <w:rPr>
          <w:rFonts w:ascii="Tahoma" w:hAnsi="Tahoma" w:cs="Tahoma"/>
          <w:sz w:val="24"/>
          <w:szCs w:val="24"/>
        </w:rPr>
        <w:t xml:space="preserve"> average gross weekly wage</w:t>
      </w:r>
      <w:r w:rsidR="00657EFE" w:rsidRPr="00132AF8">
        <w:rPr>
          <w:rFonts w:ascii="Tahoma" w:hAnsi="Tahoma" w:cs="Tahoma"/>
          <w:sz w:val="24"/>
          <w:szCs w:val="24"/>
        </w:rPr>
        <w:t xml:space="preserve"> to men. </w:t>
      </w:r>
      <w:r w:rsidR="00D310B3" w:rsidRPr="00132AF8">
        <w:rPr>
          <w:rFonts w:ascii="Tahoma" w:hAnsi="Tahoma" w:cs="Tahoma"/>
          <w:sz w:val="24"/>
          <w:szCs w:val="24"/>
        </w:rPr>
        <w:t xml:space="preserve">Newry and </w:t>
      </w:r>
      <w:proofErr w:type="spellStart"/>
      <w:r w:rsidR="00D310B3" w:rsidRPr="00132AF8">
        <w:rPr>
          <w:rFonts w:ascii="Tahoma" w:hAnsi="Tahoma" w:cs="Tahoma"/>
          <w:sz w:val="24"/>
          <w:szCs w:val="24"/>
        </w:rPr>
        <w:t>Mourne</w:t>
      </w:r>
      <w:proofErr w:type="spellEnd"/>
      <w:r w:rsidR="00657EFE" w:rsidRPr="00132AF8">
        <w:rPr>
          <w:rFonts w:ascii="Tahoma" w:hAnsi="Tahoma" w:cs="Tahoma"/>
          <w:sz w:val="24"/>
          <w:szCs w:val="24"/>
        </w:rPr>
        <w:t>:</w:t>
      </w:r>
      <w:r w:rsidR="002C0A05" w:rsidRPr="00132AF8">
        <w:rPr>
          <w:rFonts w:ascii="Tahoma" w:hAnsi="Tahoma" w:cs="Tahoma"/>
          <w:sz w:val="24"/>
          <w:szCs w:val="24"/>
        </w:rPr>
        <w:t xml:space="preserve"> £</w:t>
      </w:r>
      <w:r w:rsidR="00D310B3" w:rsidRPr="00132AF8">
        <w:rPr>
          <w:rFonts w:ascii="Tahoma" w:hAnsi="Tahoma" w:cs="Tahoma"/>
          <w:sz w:val="24"/>
          <w:szCs w:val="24"/>
        </w:rPr>
        <w:t xml:space="preserve">304.2 </w:t>
      </w:r>
      <w:proofErr w:type="spellStart"/>
      <w:r w:rsidR="00D310B3" w:rsidRPr="00132AF8">
        <w:rPr>
          <w:rFonts w:ascii="Tahoma" w:hAnsi="Tahoma" w:cs="Tahoma"/>
          <w:sz w:val="24"/>
          <w:szCs w:val="24"/>
        </w:rPr>
        <w:t>vs</w:t>
      </w:r>
      <w:proofErr w:type="spellEnd"/>
      <w:r w:rsidR="00D310B3" w:rsidRPr="00132AF8">
        <w:rPr>
          <w:rFonts w:ascii="Tahoma" w:hAnsi="Tahoma" w:cs="Tahoma"/>
          <w:sz w:val="24"/>
          <w:szCs w:val="24"/>
        </w:rPr>
        <w:t xml:space="preserve"> £503.8, </w:t>
      </w:r>
      <w:r w:rsidR="002C0A05" w:rsidRPr="00132AF8">
        <w:rPr>
          <w:rFonts w:ascii="Tahoma" w:hAnsi="Tahoma" w:cs="Tahoma"/>
          <w:sz w:val="24"/>
          <w:szCs w:val="24"/>
        </w:rPr>
        <w:t xml:space="preserve">and </w:t>
      </w:r>
      <w:r w:rsidR="00D310B3" w:rsidRPr="00132AF8">
        <w:rPr>
          <w:rFonts w:ascii="Tahoma" w:hAnsi="Tahoma" w:cs="Tahoma"/>
          <w:sz w:val="24"/>
          <w:szCs w:val="24"/>
        </w:rPr>
        <w:t>Down</w:t>
      </w:r>
      <w:r w:rsidR="00657EFE" w:rsidRPr="00132AF8">
        <w:rPr>
          <w:rFonts w:ascii="Tahoma" w:hAnsi="Tahoma" w:cs="Tahoma"/>
          <w:sz w:val="24"/>
          <w:szCs w:val="24"/>
        </w:rPr>
        <w:t xml:space="preserve">: </w:t>
      </w:r>
      <w:r w:rsidR="002C0A05" w:rsidRPr="00132AF8">
        <w:rPr>
          <w:rFonts w:ascii="Tahoma" w:hAnsi="Tahoma" w:cs="Tahoma"/>
          <w:sz w:val="24"/>
          <w:szCs w:val="24"/>
        </w:rPr>
        <w:t>£</w:t>
      </w:r>
      <w:r w:rsidR="00D310B3" w:rsidRPr="00132AF8">
        <w:rPr>
          <w:rFonts w:ascii="Tahoma" w:hAnsi="Tahoma" w:cs="Tahoma"/>
          <w:sz w:val="24"/>
          <w:szCs w:val="24"/>
        </w:rPr>
        <w:t xml:space="preserve">296.1 </w:t>
      </w:r>
      <w:proofErr w:type="spellStart"/>
      <w:r w:rsidR="00D310B3" w:rsidRPr="00132AF8">
        <w:rPr>
          <w:rFonts w:ascii="Tahoma" w:hAnsi="Tahoma" w:cs="Tahoma"/>
          <w:sz w:val="24"/>
          <w:szCs w:val="24"/>
        </w:rPr>
        <w:t>vs</w:t>
      </w:r>
      <w:proofErr w:type="spellEnd"/>
      <w:r w:rsidR="00D310B3" w:rsidRPr="00132AF8">
        <w:rPr>
          <w:rFonts w:ascii="Tahoma" w:hAnsi="Tahoma" w:cs="Tahoma"/>
          <w:sz w:val="24"/>
          <w:szCs w:val="24"/>
        </w:rPr>
        <w:t xml:space="preserve"> £503.8</w:t>
      </w:r>
      <w:r w:rsidR="00B83CC6" w:rsidRPr="00132AF8">
        <w:rPr>
          <w:rStyle w:val="FootnoteReference"/>
          <w:rFonts w:ascii="Tahoma" w:hAnsi="Tahoma" w:cs="Tahoma"/>
          <w:sz w:val="24"/>
          <w:szCs w:val="24"/>
        </w:rPr>
        <w:footnoteReference w:id="18"/>
      </w:r>
      <w:r w:rsidR="002C0A05" w:rsidRPr="00132AF8">
        <w:rPr>
          <w:rFonts w:ascii="Tahoma" w:hAnsi="Tahoma" w:cs="Tahoma"/>
          <w:sz w:val="24"/>
          <w:szCs w:val="24"/>
        </w:rPr>
        <w:t>.</w:t>
      </w:r>
    </w:p>
    <w:p w:rsidR="00210F28" w:rsidRDefault="00210F28" w:rsidP="002C0A05">
      <w:pPr>
        <w:autoSpaceDE w:val="0"/>
        <w:autoSpaceDN w:val="0"/>
        <w:adjustRightInd w:val="0"/>
        <w:spacing w:after="0" w:line="240" w:lineRule="auto"/>
        <w:rPr>
          <w:rFonts w:ascii="Arial" w:hAnsi="Arial" w:cs="Arial"/>
          <w:sz w:val="16"/>
          <w:szCs w:val="16"/>
        </w:rPr>
      </w:pPr>
    </w:p>
    <w:p w:rsidR="00262A3F" w:rsidRDefault="00262A3F" w:rsidP="00EE7961">
      <w:pPr>
        <w:autoSpaceDE w:val="0"/>
        <w:autoSpaceDN w:val="0"/>
        <w:adjustRightInd w:val="0"/>
        <w:spacing w:after="0" w:line="240" w:lineRule="auto"/>
        <w:rPr>
          <w:rFonts w:ascii="Arial" w:hAnsi="Arial" w:cs="Arial"/>
          <w:b/>
          <w:sz w:val="24"/>
          <w:szCs w:val="24"/>
        </w:rPr>
      </w:pPr>
    </w:p>
    <w:p w:rsidR="00EE7961" w:rsidRPr="00132AF8" w:rsidRDefault="004531E3" w:rsidP="00EE7961">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Table 4</w:t>
      </w:r>
      <w:r w:rsidR="00EE7961" w:rsidRPr="00132AF8">
        <w:rPr>
          <w:rFonts w:ascii="Tahoma" w:hAnsi="Tahoma" w:cs="Tahoma"/>
          <w:b/>
          <w:sz w:val="24"/>
          <w:szCs w:val="24"/>
        </w:rPr>
        <w:t xml:space="preserve">: Proportion of Economically Active Males and Females (1991, 2001 &amp; 2011) </w:t>
      </w:r>
    </w:p>
    <w:p w:rsidR="00EE7961" w:rsidRPr="00EE7961" w:rsidRDefault="00EE7961" w:rsidP="00EE7961">
      <w:pPr>
        <w:autoSpaceDE w:val="0"/>
        <w:autoSpaceDN w:val="0"/>
        <w:adjustRightInd w:val="0"/>
        <w:spacing w:after="0"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1242"/>
        <w:gridCol w:w="1205"/>
        <w:gridCol w:w="1205"/>
        <w:gridCol w:w="1417"/>
        <w:gridCol w:w="1418"/>
        <w:gridCol w:w="1346"/>
        <w:gridCol w:w="1347"/>
      </w:tblGrid>
      <w:tr w:rsidR="00EE7961" w:rsidRPr="00EE7961" w:rsidTr="00857171">
        <w:tc>
          <w:tcPr>
            <w:tcW w:w="1242" w:type="dxa"/>
            <w:vMerge w:val="restart"/>
            <w:shd w:val="pct10" w:color="auto" w:fill="auto"/>
          </w:tcPr>
          <w:p w:rsidR="00EE7961" w:rsidRPr="00E471AD" w:rsidRDefault="00EE7961" w:rsidP="00857171">
            <w:pPr>
              <w:autoSpaceDE w:val="0"/>
              <w:autoSpaceDN w:val="0"/>
              <w:adjustRightInd w:val="0"/>
              <w:rPr>
                <w:rFonts w:ascii="Arial" w:hAnsi="Arial" w:cs="Arial"/>
                <w:b/>
              </w:rPr>
            </w:pPr>
          </w:p>
        </w:tc>
        <w:tc>
          <w:tcPr>
            <w:tcW w:w="2410" w:type="dxa"/>
            <w:gridSpan w:val="2"/>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1991</w:t>
            </w:r>
          </w:p>
        </w:tc>
        <w:tc>
          <w:tcPr>
            <w:tcW w:w="2835" w:type="dxa"/>
            <w:gridSpan w:val="2"/>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2001</w:t>
            </w:r>
          </w:p>
        </w:tc>
        <w:tc>
          <w:tcPr>
            <w:tcW w:w="2693" w:type="dxa"/>
            <w:gridSpan w:val="2"/>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2011</w:t>
            </w:r>
          </w:p>
        </w:tc>
      </w:tr>
      <w:tr w:rsidR="00EE7961" w:rsidRPr="00EE7961" w:rsidTr="00857171">
        <w:tc>
          <w:tcPr>
            <w:tcW w:w="1242" w:type="dxa"/>
            <w:vMerge/>
            <w:tcBorders>
              <w:bottom w:val="single" w:sz="4" w:space="0" w:color="auto"/>
            </w:tcBorders>
            <w:shd w:val="pct10" w:color="auto" w:fill="auto"/>
          </w:tcPr>
          <w:p w:rsidR="00EE7961" w:rsidRPr="00E471AD" w:rsidRDefault="00EE7961" w:rsidP="00857171">
            <w:pPr>
              <w:autoSpaceDE w:val="0"/>
              <w:autoSpaceDN w:val="0"/>
              <w:adjustRightInd w:val="0"/>
              <w:rPr>
                <w:rFonts w:ascii="Arial" w:hAnsi="Arial" w:cs="Arial"/>
                <w:b/>
              </w:rPr>
            </w:pPr>
          </w:p>
        </w:tc>
        <w:tc>
          <w:tcPr>
            <w:tcW w:w="1205"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Male</w:t>
            </w:r>
          </w:p>
        </w:tc>
        <w:tc>
          <w:tcPr>
            <w:tcW w:w="1205"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Female</w:t>
            </w:r>
          </w:p>
        </w:tc>
        <w:tc>
          <w:tcPr>
            <w:tcW w:w="1417"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Male</w:t>
            </w:r>
          </w:p>
        </w:tc>
        <w:tc>
          <w:tcPr>
            <w:tcW w:w="1418"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Female</w:t>
            </w:r>
          </w:p>
        </w:tc>
        <w:tc>
          <w:tcPr>
            <w:tcW w:w="1346"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Male</w:t>
            </w:r>
          </w:p>
        </w:tc>
        <w:tc>
          <w:tcPr>
            <w:tcW w:w="1347" w:type="dxa"/>
            <w:shd w:val="pct10" w:color="auto" w:fill="auto"/>
          </w:tcPr>
          <w:p w:rsidR="00EE7961" w:rsidRPr="00E471AD" w:rsidRDefault="00EE7961" w:rsidP="00857171">
            <w:pPr>
              <w:autoSpaceDE w:val="0"/>
              <w:autoSpaceDN w:val="0"/>
              <w:adjustRightInd w:val="0"/>
              <w:jc w:val="center"/>
              <w:rPr>
                <w:rFonts w:ascii="Arial" w:hAnsi="Arial" w:cs="Arial"/>
                <w:b/>
              </w:rPr>
            </w:pPr>
            <w:r w:rsidRPr="00E471AD">
              <w:rPr>
                <w:rFonts w:ascii="Arial" w:hAnsi="Arial" w:cs="Arial"/>
                <w:b/>
              </w:rPr>
              <w:t>Female</w:t>
            </w:r>
          </w:p>
        </w:tc>
      </w:tr>
      <w:tr w:rsidR="00624BFD" w:rsidRPr="00EE7961" w:rsidTr="0073727B">
        <w:tc>
          <w:tcPr>
            <w:tcW w:w="1242" w:type="dxa"/>
            <w:shd w:val="pct10" w:color="auto" w:fill="auto"/>
          </w:tcPr>
          <w:p w:rsidR="00624BFD" w:rsidRPr="00E471AD" w:rsidRDefault="00624BFD" w:rsidP="00857171">
            <w:pPr>
              <w:autoSpaceDE w:val="0"/>
              <w:autoSpaceDN w:val="0"/>
              <w:adjustRightInd w:val="0"/>
              <w:rPr>
                <w:rFonts w:ascii="Arial" w:hAnsi="Arial" w:cs="Arial"/>
                <w:b/>
              </w:rPr>
            </w:pPr>
            <w:r w:rsidRPr="00E471AD">
              <w:rPr>
                <w:rFonts w:ascii="Arial" w:hAnsi="Arial" w:cs="Arial"/>
                <w:b/>
              </w:rPr>
              <w:t>NI</w:t>
            </w:r>
          </w:p>
        </w:tc>
        <w:tc>
          <w:tcPr>
            <w:tcW w:w="1205" w:type="dxa"/>
          </w:tcPr>
          <w:p w:rsidR="00624BFD" w:rsidRPr="00132AF8" w:rsidRDefault="0073727B" w:rsidP="00857171">
            <w:pPr>
              <w:autoSpaceDE w:val="0"/>
              <w:autoSpaceDN w:val="0"/>
              <w:adjustRightInd w:val="0"/>
              <w:jc w:val="center"/>
              <w:rPr>
                <w:rFonts w:ascii="Arial" w:hAnsi="Arial" w:cs="Arial"/>
              </w:rPr>
            </w:pPr>
            <w:r w:rsidRPr="00132AF8">
              <w:rPr>
                <w:rFonts w:ascii="Arial" w:hAnsi="Arial" w:cs="Arial"/>
              </w:rPr>
              <w:t>406,726 (60%)</w:t>
            </w:r>
          </w:p>
        </w:tc>
        <w:tc>
          <w:tcPr>
            <w:tcW w:w="1205" w:type="dxa"/>
          </w:tcPr>
          <w:p w:rsidR="00624BFD" w:rsidRPr="00132AF8" w:rsidRDefault="0073727B" w:rsidP="00857171">
            <w:pPr>
              <w:autoSpaceDE w:val="0"/>
              <w:autoSpaceDN w:val="0"/>
              <w:adjustRightInd w:val="0"/>
              <w:jc w:val="center"/>
              <w:rPr>
                <w:rFonts w:ascii="Arial" w:hAnsi="Arial" w:cs="Arial"/>
              </w:rPr>
            </w:pPr>
            <w:r w:rsidRPr="00132AF8">
              <w:rPr>
                <w:rFonts w:ascii="Arial" w:hAnsi="Arial" w:cs="Arial"/>
              </w:rPr>
              <w:t>275,294 (40%)</w:t>
            </w:r>
          </w:p>
        </w:tc>
        <w:tc>
          <w:tcPr>
            <w:tcW w:w="1417" w:type="dxa"/>
            <w:vAlign w:val="bottom"/>
          </w:tcPr>
          <w:p w:rsidR="00624BFD" w:rsidRPr="00132AF8" w:rsidRDefault="0073727B" w:rsidP="00857171">
            <w:pPr>
              <w:jc w:val="center"/>
              <w:rPr>
                <w:rFonts w:ascii="Arial" w:eastAsia="Times New Roman" w:hAnsi="Arial" w:cs="Arial"/>
                <w:bCs/>
                <w:lang w:eastAsia="en-GB"/>
              </w:rPr>
            </w:pPr>
            <w:r w:rsidRPr="00132AF8">
              <w:rPr>
                <w:rFonts w:ascii="Arial" w:eastAsia="Times New Roman" w:hAnsi="Arial" w:cs="Arial"/>
                <w:bCs/>
                <w:lang w:eastAsia="en-GB"/>
              </w:rPr>
              <w:t>398,384 (64</w:t>
            </w:r>
            <w:r w:rsidR="00275CDE" w:rsidRPr="00132AF8">
              <w:rPr>
                <w:rFonts w:ascii="Arial" w:eastAsia="Times New Roman" w:hAnsi="Arial" w:cs="Arial"/>
                <w:bCs/>
                <w:lang w:eastAsia="en-GB"/>
              </w:rPr>
              <w:t>%</w:t>
            </w:r>
            <w:r w:rsidRPr="00132AF8">
              <w:rPr>
                <w:rFonts w:ascii="Arial" w:eastAsia="Times New Roman" w:hAnsi="Arial" w:cs="Arial"/>
                <w:bCs/>
                <w:lang w:eastAsia="en-GB"/>
              </w:rPr>
              <w:t>)</w:t>
            </w:r>
          </w:p>
        </w:tc>
        <w:tc>
          <w:tcPr>
            <w:tcW w:w="1418" w:type="dxa"/>
            <w:vAlign w:val="bottom"/>
          </w:tcPr>
          <w:p w:rsidR="00624BFD" w:rsidRPr="00132AF8" w:rsidRDefault="0073727B" w:rsidP="00857171">
            <w:pPr>
              <w:jc w:val="center"/>
              <w:rPr>
                <w:rFonts w:ascii="Arial" w:eastAsia="Times New Roman" w:hAnsi="Arial" w:cs="Arial"/>
                <w:bCs/>
                <w:lang w:eastAsia="en-GB"/>
              </w:rPr>
            </w:pPr>
            <w:r w:rsidRPr="00132AF8">
              <w:rPr>
                <w:rFonts w:ascii="Arial" w:eastAsia="Times New Roman" w:hAnsi="Arial" w:cs="Arial"/>
                <w:bCs/>
                <w:lang w:eastAsia="en-GB"/>
              </w:rPr>
              <w:t>231,375 (36</w:t>
            </w:r>
            <w:r w:rsidR="00275CDE" w:rsidRPr="00132AF8">
              <w:rPr>
                <w:rFonts w:ascii="Arial" w:eastAsia="Times New Roman" w:hAnsi="Arial" w:cs="Arial"/>
                <w:bCs/>
                <w:lang w:eastAsia="en-GB"/>
              </w:rPr>
              <w:t>%</w:t>
            </w:r>
            <w:r w:rsidRPr="00132AF8">
              <w:rPr>
                <w:rFonts w:ascii="Arial" w:eastAsia="Times New Roman" w:hAnsi="Arial" w:cs="Arial"/>
                <w:bCs/>
                <w:lang w:eastAsia="en-GB"/>
              </w:rPr>
              <w:t>)</w:t>
            </w:r>
          </w:p>
        </w:tc>
        <w:tc>
          <w:tcPr>
            <w:tcW w:w="1346" w:type="dxa"/>
          </w:tcPr>
          <w:p w:rsidR="00624BFD" w:rsidRPr="00132AF8" w:rsidRDefault="0073727B" w:rsidP="00857171">
            <w:pPr>
              <w:autoSpaceDE w:val="0"/>
              <w:autoSpaceDN w:val="0"/>
              <w:adjustRightInd w:val="0"/>
              <w:jc w:val="center"/>
              <w:rPr>
                <w:rFonts w:ascii="Arial" w:hAnsi="Arial" w:cs="Arial"/>
              </w:rPr>
            </w:pPr>
            <w:r w:rsidRPr="00132AF8">
              <w:rPr>
                <w:rFonts w:ascii="Arial" w:hAnsi="Arial" w:cs="Arial"/>
              </w:rPr>
              <w:t>460,797 (53</w:t>
            </w:r>
            <w:r w:rsidR="00275CDE" w:rsidRPr="00132AF8">
              <w:rPr>
                <w:rFonts w:ascii="Arial" w:hAnsi="Arial" w:cs="Arial"/>
              </w:rPr>
              <w:t>%</w:t>
            </w:r>
            <w:r w:rsidRPr="00132AF8">
              <w:rPr>
                <w:rFonts w:ascii="Arial" w:hAnsi="Arial" w:cs="Arial"/>
              </w:rPr>
              <w:t>)</w:t>
            </w:r>
          </w:p>
        </w:tc>
        <w:tc>
          <w:tcPr>
            <w:tcW w:w="1347" w:type="dxa"/>
          </w:tcPr>
          <w:p w:rsidR="00624BFD" w:rsidRPr="00132AF8" w:rsidRDefault="0073727B" w:rsidP="00857171">
            <w:pPr>
              <w:autoSpaceDE w:val="0"/>
              <w:autoSpaceDN w:val="0"/>
              <w:adjustRightInd w:val="0"/>
              <w:jc w:val="center"/>
              <w:rPr>
                <w:rFonts w:ascii="Arial" w:hAnsi="Arial" w:cs="Arial"/>
              </w:rPr>
            </w:pPr>
            <w:r w:rsidRPr="00132AF8">
              <w:rPr>
                <w:rFonts w:ascii="Arial" w:hAnsi="Arial" w:cs="Arial"/>
              </w:rPr>
              <w:t>408,955 (47</w:t>
            </w:r>
            <w:r w:rsidR="00275CDE" w:rsidRPr="00132AF8">
              <w:rPr>
                <w:rFonts w:ascii="Arial" w:hAnsi="Arial" w:cs="Arial"/>
              </w:rPr>
              <w:t>%</w:t>
            </w:r>
            <w:r w:rsidRPr="00132AF8">
              <w:rPr>
                <w:rFonts w:ascii="Arial" w:hAnsi="Arial" w:cs="Arial"/>
              </w:rPr>
              <w:t>)</w:t>
            </w:r>
          </w:p>
        </w:tc>
      </w:tr>
      <w:tr w:rsidR="00624BFD" w:rsidRPr="00EE7961" w:rsidTr="0073727B">
        <w:tc>
          <w:tcPr>
            <w:tcW w:w="1242" w:type="dxa"/>
            <w:shd w:val="pct10" w:color="auto" w:fill="auto"/>
          </w:tcPr>
          <w:p w:rsidR="00624BFD" w:rsidRPr="00E471AD" w:rsidRDefault="00624BFD" w:rsidP="00857171">
            <w:pPr>
              <w:autoSpaceDE w:val="0"/>
              <w:autoSpaceDN w:val="0"/>
              <w:adjustRightInd w:val="0"/>
              <w:rPr>
                <w:rFonts w:ascii="Arial" w:hAnsi="Arial" w:cs="Arial"/>
                <w:b/>
              </w:rPr>
            </w:pPr>
            <w:r w:rsidRPr="00E471AD">
              <w:rPr>
                <w:rFonts w:ascii="Arial" w:hAnsi="Arial" w:cs="Arial"/>
                <w:b/>
              </w:rPr>
              <w:t>NMC</w:t>
            </w:r>
          </w:p>
        </w:tc>
        <w:tc>
          <w:tcPr>
            <w:tcW w:w="1205" w:type="dxa"/>
          </w:tcPr>
          <w:p w:rsidR="00624BFD" w:rsidRPr="00132AF8" w:rsidRDefault="00A733D4" w:rsidP="00857171">
            <w:pPr>
              <w:autoSpaceDE w:val="0"/>
              <w:autoSpaceDN w:val="0"/>
              <w:adjustRightInd w:val="0"/>
              <w:jc w:val="center"/>
              <w:rPr>
                <w:rFonts w:ascii="Arial" w:hAnsi="Arial" w:cs="Arial"/>
              </w:rPr>
            </w:pPr>
            <w:r w:rsidRPr="00132AF8">
              <w:rPr>
                <w:rFonts w:ascii="Arial" w:hAnsi="Arial" w:cs="Arial"/>
              </w:rPr>
              <w:t>20,806</w:t>
            </w:r>
            <w:r w:rsidR="00537B6E" w:rsidRPr="00132AF8">
              <w:rPr>
                <w:rFonts w:ascii="Arial" w:hAnsi="Arial" w:cs="Arial"/>
              </w:rPr>
              <w:t xml:space="preserve"> (63</w:t>
            </w:r>
            <w:r w:rsidR="003629BE" w:rsidRPr="00132AF8">
              <w:rPr>
                <w:rFonts w:ascii="Arial" w:hAnsi="Arial" w:cs="Arial"/>
              </w:rPr>
              <w:t>%)</w:t>
            </w:r>
          </w:p>
        </w:tc>
        <w:tc>
          <w:tcPr>
            <w:tcW w:w="1205" w:type="dxa"/>
          </w:tcPr>
          <w:p w:rsidR="00624BFD" w:rsidRPr="00132AF8" w:rsidRDefault="00A733D4" w:rsidP="00857171">
            <w:pPr>
              <w:autoSpaceDE w:val="0"/>
              <w:autoSpaceDN w:val="0"/>
              <w:adjustRightInd w:val="0"/>
              <w:jc w:val="center"/>
              <w:rPr>
                <w:rFonts w:ascii="Arial" w:hAnsi="Arial" w:cs="Arial"/>
              </w:rPr>
            </w:pPr>
            <w:r w:rsidRPr="00132AF8">
              <w:rPr>
                <w:rFonts w:ascii="Arial" w:hAnsi="Arial" w:cs="Arial"/>
              </w:rPr>
              <w:t>11,960</w:t>
            </w:r>
            <w:r w:rsidR="00537B6E" w:rsidRPr="00132AF8">
              <w:rPr>
                <w:rFonts w:ascii="Arial" w:hAnsi="Arial" w:cs="Arial"/>
              </w:rPr>
              <w:t xml:space="preserve"> (37</w:t>
            </w:r>
            <w:r w:rsidR="004F1BDA" w:rsidRPr="00132AF8">
              <w:rPr>
                <w:rFonts w:ascii="Arial" w:hAnsi="Arial" w:cs="Arial"/>
              </w:rPr>
              <w:t>%)</w:t>
            </w:r>
          </w:p>
        </w:tc>
        <w:tc>
          <w:tcPr>
            <w:tcW w:w="1417" w:type="dxa"/>
            <w:vAlign w:val="bottom"/>
          </w:tcPr>
          <w:p w:rsidR="00CF159D" w:rsidRPr="00132AF8" w:rsidRDefault="00A733D4" w:rsidP="00857171">
            <w:pPr>
              <w:jc w:val="center"/>
              <w:rPr>
                <w:rFonts w:ascii="Arial" w:eastAsia="Times New Roman" w:hAnsi="Arial" w:cs="Arial"/>
                <w:bCs/>
                <w:lang w:eastAsia="en-GB"/>
              </w:rPr>
            </w:pPr>
            <w:r w:rsidRPr="00132AF8">
              <w:rPr>
                <w:rFonts w:ascii="Arial" w:eastAsia="Times New Roman" w:hAnsi="Arial" w:cs="Arial"/>
                <w:bCs/>
                <w:lang w:eastAsia="en-GB"/>
              </w:rPr>
              <w:t>17,959</w:t>
            </w:r>
          </w:p>
          <w:p w:rsidR="00624BFD" w:rsidRPr="00132AF8" w:rsidRDefault="003629BE"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58%</w:t>
            </w:r>
            <w:r w:rsidRPr="00132AF8">
              <w:rPr>
                <w:rFonts w:ascii="Arial" w:eastAsia="Times New Roman" w:hAnsi="Arial" w:cs="Arial"/>
                <w:bCs/>
                <w:lang w:eastAsia="en-GB"/>
              </w:rPr>
              <w:t>)</w:t>
            </w:r>
          </w:p>
        </w:tc>
        <w:tc>
          <w:tcPr>
            <w:tcW w:w="1418" w:type="dxa"/>
            <w:vAlign w:val="bottom"/>
          </w:tcPr>
          <w:p w:rsidR="00CF159D" w:rsidRPr="00132AF8" w:rsidRDefault="00A733D4" w:rsidP="00857171">
            <w:pPr>
              <w:jc w:val="center"/>
              <w:rPr>
                <w:rFonts w:ascii="Arial" w:eastAsia="Times New Roman" w:hAnsi="Arial" w:cs="Arial"/>
                <w:bCs/>
                <w:lang w:eastAsia="en-GB"/>
              </w:rPr>
            </w:pPr>
            <w:r w:rsidRPr="00132AF8">
              <w:rPr>
                <w:rFonts w:ascii="Arial" w:eastAsia="Times New Roman" w:hAnsi="Arial" w:cs="Arial"/>
                <w:bCs/>
                <w:lang w:eastAsia="en-GB"/>
              </w:rPr>
              <w:t>13,008</w:t>
            </w:r>
          </w:p>
          <w:p w:rsidR="00624BFD" w:rsidRPr="00132AF8" w:rsidRDefault="003629BE"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42%</w:t>
            </w:r>
            <w:r w:rsidRPr="00132AF8">
              <w:rPr>
                <w:rFonts w:ascii="Arial" w:eastAsia="Times New Roman" w:hAnsi="Arial" w:cs="Arial"/>
                <w:bCs/>
                <w:lang w:eastAsia="en-GB"/>
              </w:rPr>
              <w:t>)</w:t>
            </w:r>
          </w:p>
        </w:tc>
        <w:tc>
          <w:tcPr>
            <w:tcW w:w="1346" w:type="dxa"/>
          </w:tcPr>
          <w:p w:rsidR="00CF159D" w:rsidRPr="00132AF8" w:rsidRDefault="00A45FBB" w:rsidP="00857171">
            <w:pPr>
              <w:autoSpaceDE w:val="0"/>
              <w:autoSpaceDN w:val="0"/>
              <w:adjustRightInd w:val="0"/>
              <w:jc w:val="center"/>
              <w:rPr>
                <w:rFonts w:ascii="Arial" w:hAnsi="Arial" w:cs="Arial"/>
              </w:rPr>
            </w:pPr>
            <w:r w:rsidRPr="00132AF8">
              <w:rPr>
                <w:rFonts w:ascii="Arial" w:hAnsi="Arial" w:cs="Arial"/>
              </w:rPr>
              <w:t>25,309</w:t>
            </w:r>
          </w:p>
          <w:p w:rsidR="00624BFD" w:rsidRPr="00132AF8" w:rsidRDefault="003629BE"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55%</w:t>
            </w:r>
            <w:r w:rsidRPr="00132AF8">
              <w:rPr>
                <w:rFonts w:ascii="Arial" w:hAnsi="Arial" w:cs="Arial"/>
              </w:rPr>
              <w:t>)</w:t>
            </w:r>
          </w:p>
        </w:tc>
        <w:tc>
          <w:tcPr>
            <w:tcW w:w="1347" w:type="dxa"/>
          </w:tcPr>
          <w:p w:rsidR="00CF159D" w:rsidRPr="00132AF8" w:rsidRDefault="00A45FBB" w:rsidP="00857171">
            <w:pPr>
              <w:autoSpaceDE w:val="0"/>
              <w:autoSpaceDN w:val="0"/>
              <w:adjustRightInd w:val="0"/>
              <w:jc w:val="center"/>
              <w:rPr>
                <w:rFonts w:ascii="Arial" w:hAnsi="Arial" w:cs="Arial"/>
              </w:rPr>
            </w:pPr>
            <w:r w:rsidRPr="00132AF8">
              <w:rPr>
                <w:rFonts w:ascii="Arial" w:hAnsi="Arial" w:cs="Arial"/>
              </w:rPr>
              <w:t>20,898</w:t>
            </w:r>
          </w:p>
          <w:p w:rsidR="00624BFD" w:rsidRPr="00132AF8" w:rsidRDefault="003629BE"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45%</w:t>
            </w:r>
            <w:r w:rsidRPr="00132AF8">
              <w:rPr>
                <w:rFonts w:ascii="Arial" w:hAnsi="Arial" w:cs="Arial"/>
              </w:rPr>
              <w:t>)</w:t>
            </w:r>
          </w:p>
        </w:tc>
      </w:tr>
      <w:tr w:rsidR="00624BFD" w:rsidRPr="00EE7961" w:rsidTr="0073727B">
        <w:tc>
          <w:tcPr>
            <w:tcW w:w="1242" w:type="dxa"/>
            <w:shd w:val="pct10" w:color="auto" w:fill="auto"/>
          </w:tcPr>
          <w:p w:rsidR="00624BFD" w:rsidRPr="00E471AD" w:rsidRDefault="00624BFD" w:rsidP="00857171">
            <w:pPr>
              <w:autoSpaceDE w:val="0"/>
              <w:autoSpaceDN w:val="0"/>
              <w:adjustRightInd w:val="0"/>
              <w:rPr>
                <w:rFonts w:ascii="Arial" w:hAnsi="Arial" w:cs="Arial"/>
                <w:b/>
              </w:rPr>
            </w:pPr>
            <w:r w:rsidRPr="00E471AD">
              <w:rPr>
                <w:rFonts w:ascii="Arial" w:hAnsi="Arial" w:cs="Arial"/>
                <w:b/>
              </w:rPr>
              <w:t>DDC</w:t>
            </w:r>
          </w:p>
        </w:tc>
        <w:tc>
          <w:tcPr>
            <w:tcW w:w="1205" w:type="dxa"/>
          </w:tcPr>
          <w:p w:rsidR="00624BFD" w:rsidRPr="00132AF8" w:rsidRDefault="00A733D4" w:rsidP="00857171">
            <w:pPr>
              <w:autoSpaceDE w:val="0"/>
              <w:autoSpaceDN w:val="0"/>
              <w:adjustRightInd w:val="0"/>
              <w:jc w:val="center"/>
              <w:rPr>
                <w:rFonts w:ascii="Arial" w:hAnsi="Arial" w:cs="Arial"/>
              </w:rPr>
            </w:pPr>
            <w:r w:rsidRPr="00132AF8">
              <w:rPr>
                <w:rFonts w:ascii="Arial" w:hAnsi="Arial" w:cs="Arial"/>
              </w:rPr>
              <w:t>15,011</w:t>
            </w:r>
            <w:r w:rsidR="003629BE" w:rsidRPr="00132AF8">
              <w:rPr>
                <w:rFonts w:ascii="Arial" w:hAnsi="Arial" w:cs="Arial"/>
              </w:rPr>
              <w:t xml:space="preserve"> (</w:t>
            </w:r>
            <w:r w:rsidR="00537B6E" w:rsidRPr="00132AF8">
              <w:rPr>
                <w:rFonts w:ascii="Arial" w:hAnsi="Arial" w:cs="Arial"/>
              </w:rPr>
              <w:t>60%</w:t>
            </w:r>
            <w:r w:rsidR="003629BE" w:rsidRPr="00132AF8">
              <w:rPr>
                <w:rFonts w:ascii="Arial" w:hAnsi="Arial" w:cs="Arial"/>
              </w:rPr>
              <w:t>)</w:t>
            </w:r>
          </w:p>
        </w:tc>
        <w:tc>
          <w:tcPr>
            <w:tcW w:w="1205" w:type="dxa"/>
          </w:tcPr>
          <w:p w:rsidR="00537B6E" w:rsidRPr="00132AF8" w:rsidRDefault="00A733D4" w:rsidP="00857171">
            <w:pPr>
              <w:autoSpaceDE w:val="0"/>
              <w:autoSpaceDN w:val="0"/>
              <w:adjustRightInd w:val="0"/>
              <w:jc w:val="center"/>
              <w:rPr>
                <w:rFonts w:ascii="Arial" w:hAnsi="Arial" w:cs="Arial"/>
              </w:rPr>
            </w:pPr>
            <w:r w:rsidRPr="00132AF8">
              <w:rPr>
                <w:rFonts w:ascii="Arial" w:hAnsi="Arial" w:cs="Arial"/>
              </w:rPr>
              <w:t>9,877</w:t>
            </w:r>
          </w:p>
          <w:p w:rsidR="00624BFD" w:rsidRPr="00132AF8" w:rsidRDefault="003629BE" w:rsidP="00857171">
            <w:pPr>
              <w:autoSpaceDE w:val="0"/>
              <w:autoSpaceDN w:val="0"/>
              <w:adjustRightInd w:val="0"/>
              <w:jc w:val="center"/>
              <w:rPr>
                <w:rFonts w:ascii="Arial" w:hAnsi="Arial" w:cs="Arial"/>
              </w:rPr>
            </w:pPr>
            <w:r w:rsidRPr="00132AF8">
              <w:rPr>
                <w:rFonts w:ascii="Arial" w:hAnsi="Arial" w:cs="Arial"/>
              </w:rPr>
              <w:t>(</w:t>
            </w:r>
            <w:r w:rsidR="00537B6E" w:rsidRPr="00132AF8">
              <w:rPr>
                <w:rFonts w:ascii="Arial" w:hAnsi="Arial" w:cs="Arial"/>
              </w:rPr>
              <w:t>40%</w:t>
            </w:r>
            <w:r w:rsidRPr="00132AF8">
              <w:rPr>
                <w:rFonts w:ascii="Arial" w:hAnsi="Arial" w:cs="Arial"/>
              </w:rPr>
              <w:t>)</w:t>
            </w:r>
          </w:p>
        </w:tc>
        <w:tc>
          <w:tcPr>
            <w:tcW w:w="1417" w:type="dxa"/>
            <w:vAlign w:val="bottom"/>
          </w:tcPr>
          <w:p w:rsidR="00CF159D" w:rsidRPr="00132AF8" w:rsidRDefault="00A733D4" w:rsidP="00857171">
            <w:pPr>
              <w:jc w:val="center"/>
              <w:rPr>
                <w:rFonts w:ascii="Arial" w:eastAsia="Times New Roman" w:hAnsi="Arial" w:cs="Arial"/>
                <w:bCs/>
                <w:lang w:eastAsia="en-GB"/>
              </w:rPr>
            </w:pPr>
            <w:r w:rsidRPr="00132AF8">
              <w:rPr>
                <w:rFonts w:ascii="Arial" w:eastAsia="Times New Roman" w:hAnsi="Arial" w:cs="Arial"/>
                <w:bCs/>
                <w:lang w:eastAsia="en-GB"/>
              </w:rPr>
              <w:t>14,648</w:t>
            </w:r>
          </w:p>
          <w:p w:rsidR="00624BFD" w:rsidRPr="00132AF8" w:rsidRDefault="003629BE"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56%</w:t>
            </w:r>
            <w:r w:rsidRPr="00132AF8">
              <w:rPr>
                <w:rFonts w:ascii="Arial" w:eastAsia="Times New Roman" w:hAnsi="Arial" w:cs="Arial"/>
                <w:bCs/>
                <w:lang w:eastAsia="en-GB"/>
              </w:rPr>
              <w:t>)</w:t>
            </w:r>
          </w:p>
        </w:tc>
        <w:tc>
          <w:tcPr>
            <w:tcW w:w="1418" w:type="dxa"/>
            <w:vAlign w:val="bottom"/>
          </w:tcPr>
          <w:p w:rsidR="00CF159D" w:rsidRPr="00132AF8" w:rsidRDefault="00A733D4" w:rsidP="00857171">
            <w:pPr>
              <w:jc w:val="center"/>
              <w:rPr>
                <w:rFonts w:ascii="Arial" w:eastAsia="Times New Roman" w:hAnsi="Arial" w:cs="Arial"/>
                <w:bCs/>
                <w:lang w:eastAsia="en-GB"/>
              </w:rPr>
            </w:pPr>
            <w:r w:rsidRPr="00132AF8">
              <w:rPr>
                <w:rFonts w:ascii="Arial" w:eastAsia="Times New Roman" w:hAnsi="Arial" w:cs="Arial"/>
                <w:bCs/>
                <w:lang w:eastAsia="en-GB"/>
              </w:rPr>
              <w:t>11,405</w:t>
            </w:r>
          </w:p>
          <w:p w:rsidR="00624BFD" w:rsidRPr="00132AF8" w:rsidRDefault="003629BE"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44%</w:t>
            </w:r>
            <w:r w:rsidRPr="00132AF8">
              <w:rPr>
                <w:rFonts w:ascii="Arial" w:eastAsia="Times New Roman" w:hAnsi="Arial" w:cs="Arial"/>
                <w:bCs/>
                <w:lang w:eastAsia="en-GB"/>
              </w:rPr>
              <w:t>)</w:t>
            </w:r>
          </w:p>
        </w:tc>
        <w:tc>
          <w:tcPr>
            <w:tcW w:w="1346" w:type="dxa"/>
          </w:tcPr>
          <w:p w:rsidR="00CF159D" w:rsidRPr="00132AF8" w:rsidRDefault="00A45FBB" w:rsidP="00857171">
            <w:pPr>
              <w:autoSpaceDE w:val="0"/>
              <w:autoSpaceDN w:val="0"/>
              <w:adjustRightInd w:val="0"/>
              <w:jc w:val="center"/>
              <w:rPr>
                <w:rFonts w:ascii="Arial" w:hAnsi="Arial" w:cs="Arial"/>
              </w:rPr>
            </w:pPr>
            <w:r w:rsidRPr="00132AF8">
              <w:rPr>
                <w:rFonts w:ascii="Arial" w:hAnsi="Arial" w:cs="Arial"/>
              </w:rPr>
              <w:t>17,787</w:t>
            </w:r>
          </w:p>
          <w:p w:rsidR="00624BFD" w:rsidRPr="00132AF8" w:rsidRDefault="003629BE"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53%</w:t>
            </w:r>
            <w:r w:rsidRPr="00132AF8">
              <w:rPr>
                <w:rFonts w:ascii="Arial" w:hAnsi="Arial" w:cs="Arial"/>
              </w:rPr>
              <w:t>)</w:t>
            </w:r>
          </w:p>
        </w:tc>
        <w:tc>
          <w:tcPr>
            <w:tcW w:w="1347" w:type="dxa"/>
          </w:tcPr>
          <w:p w:rsidR="00CF159D" w:rsidRPr="00132AF8" w:rsidRDefault="00A45FBB" w:rsidP="00857171">
            <w:pPr>
              <w:autoSpaceDE w:val="0"/>
              <w:autoSpaceDN w:val="0"/>
              <w:adjustRightInd w:val="0"/>
              <w:jc w:val="center"/>
              <w:rPr>
                <w:rFonts w:ascii="Arial" w:hAnsi="Arial" w:cs="Arial"/>
              </w:rPr>
            </w:pPr>
            <w:r w:rsidRPr="00132AF8">
              <w:rPr>
                <w:rFonts w:ascii="Arial" w:hAnsi="Arial" w:cs="Arial"/>
              </w:rPr>
              <w:t>15,861</w:t>
            </w:r>
          </w:p>
          <w:p w:rsidR="00624BFD" w:rsidRPr="00132AF8" w:rsidRDefault="003629BE"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47%</w:t>
            </w:r>
            <w:r w:rsidRPr="00132AF8">
              <w:rPr>
                <w:rFonts w:ascii="Arial" w:hAnsi="Arial" w:cs="Arial"/>
              </w:rPr>
              <w:t>)</w:t>
            </w:r>
          </w:p>
        </w:tc>
      </w:tr>
      <w:tr w:rsidR="003629BE" w:rsidRPr="00EE7961" w:rsidTr="001F061D">
        <w:tc>
          <w:tcPr>
            <w:tcW w:w="1242" w:type="dxa"/>
            <w:shd w:val="pct10" w:color="auto" w:fill="auto"/>
          </w:tcPr>
          <w:p w:rsidR="003629BE" w:rsidRPr="00E471AD" w:rsidRDefault="003629BE" w:rsidP="00857171">
            <w:pPr>
              <w:autoSpaceDE w:val="0"/>
              <w:autoSpaceDN w:val="0"/>
              <w:adjustRightInd w:val="0"/>
              <w:rPr>
                <w:rFonts w:ascii="Arial" w:hAnsi="Arial" w:cs="Arial"/>
                <w:b/>
              </w:rPr>
            </w:pPr>
            <w:r>
              <w:rPr>
                <w:rFonts w:ascii="Arial" w:hAnsi="Arial" w:cs="Arial"/>
                <w:b/>
              </w:rPr>
              <w:t>NMD</w:t>
            </w:r>
          </w:p>
        </w:tc>
        <w:tc>
          <w:tcPr>
            <w:tcW w:w="1205" w:type="dxa"/>
          </w:tcPr>
          <w:p w:rsidR="003629BE" w:rsidRPr="00132AF8" w:rsidRDefault="0082693D" w:rsidP="00857171">
            <w:pPr>
              <w:autoSpaceDE w:val="0"/>
              <w:autoSpaceDN w:val="0"/>
              <w:adjustRightInd w:val="0"/>
              <w:jc w:val="center"/>
              <w:rPr>
                <w:rFonts w:ascii="Arial" w:hAnsi="Arial" w:cs="Arial"/>
              </w:rPr>
            </w:pPr>
            <w:r w:rsidRPr="00132AF8">
              <w:rPr>
                <w:rFonts w:ascii="Arial" w:hAnsi="Arial" w:cs="Arial"/>
              </w:rPr>
              <w:t>35,817 (</w:t>
            </w:r>
            <w:r w:rsidR="00537B6E" w:rsidRPr="00132AF8">
              <w:rPr>
                <w:rFonts w:ascii="Arial" w:hAnsi="Arial" w:cs="Arial"/>
              </w:rPr>
              <w:t>62%</w:t>
            </w:r>
            <w:r w:rsidRPr="00132AF8">
              <w:rPr>
                <w:rFonts w:ascii="Arial" w:hAnsi="Arial" w:cs="Arial"/>
              </w:rPr>
              <w:t>)</w:t>
            </w:r>
          </w:p>
        </w:tc>
        <w:tc>
          <w:tcPr>
            <w:tcW w:w="1205" w:type="dxa"/>
          </w:tcPr>
          <w:p w:rsidR="00537B6E" w:rsidRPr="00132AF8" w:rsidRDefault="0082693D" w:rsidP="00857171">
            <w:pPr>
              <w:autoSpaceDE w:val="0"/>
              <w:autoSpaceDN w:val="0"/>
              <w:adjustRightInd w:val="0"/>
              <w:jc w:val="center"/>
              <w:rPr>
                <w:rFonts w:ascii="Arial" w:hAnsi="Arial" w:cs="Arial"/>
              </w:rPr>
            </w:pPr>
            <w:r w:rsidRPr="00132AF8">
              <w:rPr>
                <w:rFonts w:ascii="Arial" w:hAnsi="Arial" w:cs="Arial"/>
              </w:rPr>
              <w:t>21,837</w:t>
            </w:r>
          </w:p>
          <w:p w:rsidR="003629BE" w:rsidRPr="00132AF8" w:rsidRDefault="0082693D" w:rsidP="00857171">
            <w:pPr>
              <w:autoSpaceDE w:val="0"/>
              <w:autoSpaceDN w:val="0"/>
              <w:adjustRightInd w:val="0"/>
              <w:jc w:val="center"/>
              <w:rPr>
                <w:rFonts w:ascii="Arial" w:hAnsi="Arial" w:cs="Arial"/>
              </w:rPr>
            </w:pPr>
            <w:r w:rsidRPr="00132AF8">
              <w:rPr>
                <w:rFonts w:ascii="Arial" w:hAnsi="Arial" w:cs="Arial"/>
              </w:rPr>
              <w:t>(</w:t>
            </w:r>
            <w:r w:rsidR="00537B6E" w:rsidRPr="00132AF8">
              <w:rPr>
                <w:rFonts w:ascii="Arial" w:hAnsi="Arial" w:cs="Arial"/>
              </w:rPr>
              <w:t>38%</w:t>
            </w:r>
            <w:r w:rsidRPr="00132AF8">
              <w:rPr>
                <w:rFonts w:ascii="Arial" w:hAnsi="Arial" w:cs="Arial"/>
              </w:rPr>
              <w:t>)</w:t>
            </w:r>
          </w:p>
        </w:tc>
        <w:tc>
          <w:tcPr>
            <w:tcW w:w="1417" w:type="dxa"/>
            <w:vAlign w:val="bottom"/>
          </w:tcPr>
          <w:p w:rsidR="00CF159D" w:rsidRPr="00132AF8" w:rsidRDefault="0082693D" w:rsidP="00857171">
            <w:pPr>
              <w:jc w:val="center"/>
              <w:rPr>
                <w:rFonts w:ascii="Arial" w:eastAsia="Times New Roman" w:hAnsi="Arial" w:cs="Arial"/>
                <w:bCs/>
                <w:lang w:eastAsia="en-GB"/>
              </w:rPr>
            </w:pPr>
            <w:r w:rsidRPr="00132AF8">
              <w:rPr>
                <w:rFonts w:ascii="Arial" w:eastAsia="Times New Roman" w:hAnsi="Arial" w:cs="Arial"/>
                <w:bCs/>
                <w:lang w:eastAsia="en-GB"/>
              </w:rPr>
              <w:t>32,607</w:t>
            </w:r>
          </w:p>
          <w:p w:rsidR="003629BE" w:rsidRPr="00132AF8" w:rsidRDefault="0082693D"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57%</w:t>
            </w:r>
            <w:r w:rsidRPr="00132AF8">
              <w:rPr>
                <w:rFonts w:ascii="Arial" w:eastAsia="Times New Roman" w:hAnsi="Arial" w:cs="Arial"/>
                <w:bCs/>
                <w:lang w:eastAsia="en-GB"/>
              </w:rPr>
              <w:t>)</w:t>
            </w:r>
          </w:p>
        </w:tc>
        <w:tc>
          <w:tcPr>
            <w:tcW w:w="1418" w:type="dxa"/>
            <w:vAlign w:val="bottom"/>
          </w:tcPr>
          <w:p w:rsidR="00CF159D" w:rsidRPr="00132AF8" w:rsidRDefault="0082693D" w:rsidP="00857171">
            <w:pPr>
              <w:jc w:val="center"/>
              <w:rPr>
                <w:rFonts w:ascii="Arial" w:eastAsia="Times New Roman" w:hAnsi="Arial" w:cs="Arial"/>
                <w:bCs/>
                <w:lang w:eastAsia="en-GB"/>
              </w:rPr>
            </w:pPr>
            <w:r w:rsidRPr="00132AF8">
              <w:rPr>
                <w:rFonts w:ascii="Arial" w:eastAsia="Times New Roman" w:hAnsi="Arial" w:cs="Arial"/>
                <w:bCs/>
                <w:lang w:eastAsia="en-GB"/>
              </w:rPr>
              <w:t>24,413</w:t>
            </w:r>
          </w:p>
          <w:p w:rsidR="003629BE" w:rsidRPr="00132AF8" w:rsidRDefault="0082693D" w:rsidP="00857171">
            <w:pPr>
              <w:jc w:val="center"/>
              <w:rPr>
                <w:rFonts w:ascii="Arial" w:eastAsia="Times New Roman" w:hAnsi="Arial" w:cs="Arial"/>
                <w:bCs/>
                <w:lang w:eastAsia="en-GB"/>
              </w:rPr>
            </w:pPr>
            <w:r w:rsidRPr="00132AF8">
              <w:rPr>
                <w:rFonts w:ascii="Arial" w:eastAsia="Times New Roman" w:hAnsi="Arial" w:cs="Arial"/>
                <w:bCs/>
                <w:lang w:eastAsia="en-GB"/>
              </w:rPr>
              <w:t>(</w:t>
            </w:r>
            <w:r w:rsidR="00CF159D" w:rsidRPr="00132AF8">
              <w:rPr>
                <w:rFonts w:ascii="Arial" w:eastAsia="Times New Roman" w:hAnsi="Arial" w:cs="Arial"/>
                <w:bCs/>
                <w:lang w:eastAsia="en-GB"/>
              </w:rPr>
              <w:t>43</w:t>
            </w:r>
            <w:r w:rsidRPr="00132AF8">
              <w:rPr>
                <w:rFonts w:ascii="Arial" w:eastAsia="Times New Roman" w:hAnsi="Arial" w:cs="Arial"/>
                <w:bCs/>
                <w:lang w:eastAsia="en-GB"/>
              </w:rPr>
              <w:t>)</w:t>
            </w:r>
          </w:p>
        </w:tc>
        <w:tc>
          <w:tcPr>
            <w:tcW w:w="1346" w:type="dxa"/>
          </w:tcPr>
          <w:p w:rsidR="00CF159D" w:rsidRPr="00132AF8" w:rsidRDefault="0082693D" w:rsidP="00857171">
            <w:pPr>
              <w:autoSpaceDE w:val="0"/>
              <w:autoSpaceDN w:val="0"/>
              <w:adjustRightInd w:val="0"/>
              <w:jc w:val="center"/>
              <w:rPr>
                <w:rFonts w:ascii="Arial" w:hAnsi="Arial" w:cs="Arial"/>
              </w:rPr>
            </w:pPr>
            <w:r w:rsidRPr="00132AF8">
              <w:rPr>
                <w:rFonts w:ascii="Arial" w:hAnsi="Arial" w:cs="Arial"/>
              </w:rPr>
              <w:t>43,096</w:t>
            </w:r>
          </w:p>
          <w:p w:rsidR="003629BE" w:rsidRPr="00132AF8" w:rsidRDefault="0082693D"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54%</w:t>
            </w:r>
            <w:r w:rsidRPr="00132AF8">
              <w:rPr>
                <w:rFonts w:ascii="Arial" w:hAnsi="Arial" w:cs="Arial"/>
              </w:rPr>
              <w:t>)</w:t>
            </w:r>
          </w:p>
        </w:tc>
        <w:tc>
          <w:tcPr>
            <w:tcW w:w="1347" w:type="dxa"/>
          </w:tcPr>
          <w:p w:rsidR="00CF159D" w:rsidRPr="00132AF8" w:rsidRDefault="0082693D" w:rsidP="00857171">
            <w:pPr>
              <w:autoSpaceDE w:val="0"/>
              <w:autoSpaceDN w:val="0"/>
              <w:adjustRightInd w:val="0"/>
              <w:jc w:val="center"/>
              <w:rPr>
                <w:rFonts w:ascii="Arial" w:hAnsi="Arial" w:cs="Arial"/>
              </w:rPr>
            </w:pPr>
            <w:r w:rsidRPr="00132AF8">
              <w:rPr>
                <w:rFonts w:ascii="Arial" w:hAnsi="Arial" w:cs="Arial"/>
              </w:rPr>
              <w:t>36,759</w:t>
            </w:r>
          </w:p>
          <w:p w:rsidR="003629BE" w:rsidRPr="00132AF8" w:rsidRDefault="0082693D" w:rsidP="00857171">
            <w:pPr>
              <w:autoSpaceDE w:val="0"/>
              <w:autoSpaceDN w:val="0"/>
              <w:adjustRightInd w:val="0"/>
              <w:jc w:val="center"/>
              <w:rPr>
                <w:rFonts w:ascii="Arial" w:hAnsi="Arial" w:cs="Arial"/>
              </w:rPr>
            </w:pPr>
            <w:r w:rsidRPr="00132AF8">
              <w:rPr>
                <w:rFonts w:ascii="Arial" w:hAnsi="Arial" w:cs="Arial"/>
              </w:rPr>
              <w:t>(</w:t>
            </w:r>
            <w:r w:rsidR="00CF159D" w:rsidRPr="00132AF8">
              <w:rPr>
                <w:rFonts w:ascii="Arial" w:hAnsi="Arial" w:cs="Arial"/>
              </w:rPr>
              <w:t>46%</w:t>
            </w:r>
            <w:r w:rsidRPr="00132AF8">
              <w:rPr>
                <w:rFonts w:ascii="Arial" w:hAnsi="Arial" w:cs="Arial"/>
              </w:rPr>
              <w:t>)</w:t>
            </w:r>
          </w:p>
        </w:tc>
      </w:tr>
    </w:tbl>
    <w:p w:rsidR="00E8017B" w:rsidRPr="00E8017B" w:rsidRDefault="00E8017B" w:rsidP="00EE7961">
      <w:pPr>
        <w:autoSpaceDE w:val="0"/>
        <w:autoSpaceDN w:val="0"/>
        <w:adjustRightInd w:val="0"/>
        <w:spacing w:after="0" w:line="240" w:lineRule="auto"/>
        <w:rPr>
          <w:rFonts w:ascii="Arial" w:hAnsi="Arial" w:cs="Arial"/>
          <w:sz w:val="16"/>
          <w:szCs w:val="16"/>
        </w:rPr>
      </w:pPr>
    </w:p>
    <w:p w:rsidR="00EE7961" w:rsidRDefault="00C470E6" w:rsidP="00EE7961">
      <w:pPr>
        <w:autoSpaceDE w:val="0"/>
        <w:autoSpaceDN w:val="0"/>
        <w:adjustRightInd w:val="0"/>
        <w:spacing w:after="0" w:line="240" w:lineRule="auto"/>
        <w:rPr>
          <w:rFonts w:ascii="Arial" w:hAnsi="Arial" w:cs="Arial"/>
          <w:sz w:val="16"/>
          <w:szCs w:val="16"/>
        </w:rPr>
      </w:pPr>
      <w:r w:rsidRPr="00E8017B">
        <w:rPr>
          <w:rFonts w:ascii="Arial" w:hAnsi="Arial" w:cs="Arial"/>
          <w:sz w:val="16"/>
          <w:szCs w:val="16"/>
        </w:rPr>
        <w:t>Source: NISRA/199</w:t>
      </w:r>
      <w:r w:rsidR="00EE7961" w:rsidRPr="00E8017B">
        <w:rPr>
          <w:rFonts w:ascii="Arial" w:hAnsi="Arial" w:cs="Arial"/>
          <w:sz w:val="16"/>
          <w:szCs w:val="16"/>
        </w:rPr>
        <w:t>1, 2001 &amp; 2011 Census Reports</w:t>
      </w:r>
    </w:p>
    <w:p w:rsidR="003629BE" w:rsidRDefault="003629BE" w:rsidP="00EE7961">
      <w:pPr>
        <w:autoSpaceDE w:val="0"/>
        <w:autoSpaceDN w:val="0"/>
        <w:adjustRightInd w:val="0"/>
        <w:spacing w:after="0" w:line="240" w:lineRule="auto"/>
        <w:rPr>
          <w:rFonts w:ascii="Arial" w:hAnsi="Arial" w:cs="Arial"/>
          <w:sz w:val="16"/>
          <w:szCs w:val="16"/>
        </w:rPr>
      </w:pPr>
      <w:r w:rsidRPr="003629BE">
        <w:rPr>
          <w:rFonts w:ascii="Arial" w:hAnsi="Arial" w:cs="Arial"/>
          <w:sz w:val="16"/>
          <w:szCs w:val="16"/>
        </w:rPr>
        <w:t>* NMD is a basic total of the two LGD figures and the percentage an average of the two districts.</w:t>
      </w:r>
    </w:p>
    <w:p w:rsidR="003629BE" w:rsidRDefault="003629BE" w:rsidP="00EE7961">
      <w:pPr>
        <w:autoSpaceDE w:val="0"/>
        <w:autoSpaceDN w:val="0"/>
        <w:adjustRightInd w:val="0"/>
        <w:spacing w:after="0" w:line="240" w:lineRule="auto"/>
        <w:rPr>
          <w:rFonts w:ascii="Arial" w:hAnsi="Arial" w:cs="Arial"/>
          <w:sz w:val="16"/>
          <w:szCs w:val="16"/>
        </w:rPr>
      </w:pPr>
    </w:p>
    <w:p w:rsidR="003629BE" w:rsidRPr="00E8017B" w:rsidRDefault="003629BE" w:rsidP="00EE7961">
      <w:pPr>
        <w:autoSpaceDE w:val="0"/>
        <w:autoSpaceDN w:val="0"/>
        <w:adjustRightInd w:val="0"/>
        <w:spacing w:after="0" w:line="240" w:lineRule="auto"/>
        <w:rPr>
          <w:rFonts w:ascii="Arial" w:hAnsi="Arial" w:cs="Arial"/>
          <w:sz w:val="16"/>
          <w:szCs w:val="16"/>
        </w:rPr>
      </w:pPr>
    </w:p>
    <w:p w:rsidR="00210F28" w:rsidRPr="00132AF8" w:rsidRDefault="001B0BCA"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3.2</w:t>
      </w:r>
      <w:r w:rsidR="00210F28" w:rsidRPr="00132AF8">
        <w:rPr>
          <w:rFonts w:ascii="Tahoma" w:hAnsi="Tahoma" w:cs="Tahoma"/>
          <w:b/>
          <w:bCs/>
          <w:sz w:val="24"/>
          <w:szCs w:val="24"/>
        </w:rPr>
        <w:t xml:space="preserve">2 </w:t>
      </w:r>
      <w:r w:rsidR="00866BF0">
        <w:rPr>
          <w:rFonts w:ascii="Tahoma" w:hAnsi="Tahoma" w:cs="Tahoma"/>
          <w:b/>
          <w:bCs/>
          <w:sz w:val="24"/>
          <w:szCs w:val="24"/>
        </w:rPr>
        <w:tab/>
      </w:r>
      <w:r w:rsidR="00210F28" w:rsidRPr="00132AF8">
        <w:rPr>
          <w:rFonts w:ascii="Tahoma" w:hAnsi="Tahoma" w:cs="Tahoma"/>
          <w:sz w:val="24"/>
          <w:szCs w:val="24"/>
        </w:rPr>
        <w:t xml:space="preserve">A significant risk to employment levels in </w:t>
      </w:r>
      <w:r w:rsidR="005A2118" w:rsidRPr="00132AF8">
        <w:rPr>
          <w:rFonts w:ascii="Tahoma" w:hAnsi="Tahoma" w:cs="Tahoma"/>
          <w:sz w:val="24"/>
          <w:szCs w:val="24"/>
        </w:rPr>
        <w:t xml:space="preserve">Newry, </w:t>
      </w:r>
      <w:proofErr w:type="spellStart"/>
      <w:r w:rsidR="005A2118" w:rsidRPr="00132AF8">
        <w:rPr>
          <w:rFonts w:ascii="Tahoma" w:hAnsi="Tahoma" w:cs="Tahoma"/>
          <w:sz w:val="24"/>
          <w:szCs w:val="24"/>
        </w:rPr>
        <w:t>Mourne</w:t>
      </w:r>
      <w:proofErr w:type="spellEnd"/>
      <w:r w:rsidR="005A2118" w:rsidRPr="00132AF8">
        <w:rPr>
          <w:rFonts w:ascii="Tahoma" w:hAnsi="Tahoma" w:cs="Tahoma"/>
          <w:sz w:val="24"/>
          <w:szCs w:val="24"/>
        </w:rPr>
        <w:t xml:space="preserve"> and </w:t>
      </w:r>
      <w:proofErr w:type="gramStart"/>
      <w:r w:rsidR="005A2118" w:rsidRPr="00132AF8">
        <w:rPr>
          <w:rFonts w:ascii="Tahoma" w:hAnsi="Tahoma" w:cs="Tahoma"/>
          <w:sz w:val="24"/>
          <w:szCs w:val="24"/>
        </w:rPr>
        <w:t>Down</w:t>
      </w:r>
      <w:proofErr w:type="gramEnd"/>
      <w:r w:rsidR="005D7308" w:rsidRPr="00132AF8">
        <w:rPr>
          <w:rFonts w:ascii="Tahoma" w:hAnsi="Tahoma" w:cs="Tahoma"/>
          <w:sz w:val="24"/>
          <w:szCs w:val="24"/>
        </w:rPr>
        <w:t xml:space="preserve"> </w:t>
      </w:r>
      <w:r w:rsidR="00210F28" w:rsidRPr="00132AF8">
        <w:rPr>
          <w:rFonts w:ascii="Tahoma" w:hAnsi="Tahoma" w:cs="Tahoma"/>
          <w:sz w:val="24"/>
          <w:szCs w:val="24"/>
        </w:rPr>
        <w:t>is the</w:t>
      </w:r>
      <w:r w:rsidR="00435847">
        <w:rPr>
          <w:rFonts w:ascii="Tahoma" w:hAnsi="Tahoma" w:cs="Tahoma"/>
          <w:sz w:val="24"/>
          <w:szCs w:val="24"/>
        </w:rPr>
        <w:t xml:space="preserve"> </w:t>
      </w:r>
      <w:r w:rsidR="005A2118" w:rsidRPr="00132AF8">
        <w:rPr>
          <w:rFonts w:ascii="Tahoma" w:hAnsi="Tahoma" w:cs="Tahoma"/>
          <w:sz w:val="24"/>
          <w:szCs w:val="24"/>
        </w:rPr>
        <w:t>high proportion of female employment</w:t>
      </w:r>
      <w:r w:rsidR="005D7308" w:rsidRPr="00132AF8">
        <w:rPr>
          <w:rFonts w:ascii="Tahoma" w:hAnsi="Tahoma" w:cs="Tahoma"/>
          <w:sz w:val="24"/>
          <w:szCs w:val="24"/>
        </w:rPr>
        <w:t xml:space="preserve"> currently in </w:t>
      </w:r>
      <w:r w:rsidR="00210F28" w:rsidRPr="00132AF8">
        <w:rPr>
          <w:rFonts w:ascii="Tahoma" w:hAnsi="Tahoma" w:cs="Tahoma"/>
          <w:sz w:val="24"/>
          <w:szCs w:val="24"/>
        </w:rPr>
        <w:t>the public sector. The</w:t>
      </w:r>
      <w:r w:rsidR="005D7308" w:rsidRPr="00132AF8">
        <w:rPr>
          <w:rFonts w:ascii="Tahoma" w:hAnsi="Tahoma" w:cs="Tahoma"/>
          <w:sz w:val="24"/>
          <w:szCs w:val="24"/>
        </w:rPr>
        <w:t xml:space="preserve"> </w:t>
      </w:r>
      <w:r w:rsidR="00210F28" w:rsidRPr="00132AF8">
        <w:rPr>
          <w:rFonts w:ascii="Tahoma" w:hAnsi="Tahoma" w:cs="Tahoma"/>
          <w:sz w:val="24"/>
          <w:szCs w:val="24"/>
        </w:rPr>
        <w:t>NI Executive has made it clear that the significant cuts to Departmental</w:t>
      </w:r>
      <w:r w:rsidR="005D7308" w:rsidRPr="00132AF8">
        <w:rPr>
          <w:rFonts w:ascii="Tahoma" w:hAnsi="Tahoma" w:cs="Tahoma"/>
          <w:sz w:val="24"/>
          <w:szCs w:val="24"/>
        </w:rPr>
        <w:t xml:space="preserve"> </w:t>
      </w:r>
      <w:r w:rsidR="00210F28" w:rsidRPr="00132AF8">
        <w:rPr>
          <w:rFonts w:ascii="Tahoma" w:hAnsi="Tahoma" w:cs="Tahoma"/>
          <w:sz w:val="24"/>
          <w:szCs w:val="24"/>
        </w:rPr>
        <w:t>budgets will result in significant job losses. Given the predominance of</w:t>
      </w:r>
      <w:r w:rsidR="005D7308" w:rsidRPr="00132AF8">
        <w:rPr>
          <w:rFonts w:ascii="Tahoma" w:hAnsi="Tahoma" w:cs="Tahoma"/>
          <w:sz w:val="24"/>
          <w:szCs w:val="24"/>
        </w:rPr>
        <w:t xml:space="preserve"> </w:t>
      </w:r>
      <w:r w:rsidR="00210F28" w:rsidRPr="00132AF8">
        <w:rPr>
          <w:rFonts w:ascii="Tahoma" w:hAnsi="Tahoma" w:cs="Tahoma"/>
          <w:sz w:val="24"/>
          <w:szCs w:val="24"/>
        </w:rPr>
        <w:t xml:space="preserve">women within public sector in areas such as </w:t>
      </w:r>
      <w:r w:rsidR="00567313" w:rsidRPr="00132AF8">
        <w:rPr>
          <w:rFonts w:ascii="Tahoma" w:hAnsi="Tahoma" w:cs="Tahoma"/>
          <w:sz w:val="24"/>
          <w:szCs w:val="24"/>
        </w:rPr>
        <w:t xml:space="preserve">education and </w:t>
      </w:r>
      <w:r w:rsidR="00210F28" w:rsidRPr="00132AF8">
        <w:rPr>
          <w:rFonts w:ascii="Tahoma" w:hAnsi="Tahoma" w:cs="Tahoma"/>
          <w:sz w:val="24"/>
          <w:szCs w:val="24"/>
        </w:rPr>
        <w:t xml:space="preserve">health in </w:t>
      </w:r>
      <w:r w:rsidR="00567313" w:rsidRPr="00132AF8">
        <w:rPr>
          <w:rFonts w:ascii="Tahoma" w:hAnsi="Tahoma" w:cs="Tahoma"/>
          <w:sz w:val="24"/>
          <w:szCs w:val="24"/>
        </w:rPr>
        <w:t xml:space="preserve">Newry, </w:t>
      </w:r>
      <w:proofErr w:type="spellStart"/>
      <w:r w:rsidR="00567313" w:rsidRPr="00132AF8">
        <w:rPr>
          <w:rFonts w:ascii="Tahoma" w:hAnsi="Tahoma" w:cs="Tahoma"/>
          <w:sz w:val="24"/>
          <w:szCs w:val="24"/>
        </w:rPr>
        <w:t>Mourne</w:t>
      </w:r>
      <w:proofErr w:type="spellEnd"/>
      <w:r w:rsidR="00567313" w:rsidRPr="00132AF8">
        <w:rPr>
          <w:rFonts w:ascii="Tahoma" w:hAnsi="Tahoma" w:cs="Tahoma"/>
          <w:sz w:val="24"/>
          <w:szCs w:val="24"/>
        </w:rPr>
        <w:t xml:space="preserve"> and Down</w:t>
      </w:r>
      <w:r w:rsidR="00210F28" w:rsidRPr="00132AF8">
        <w:rPr>
          <w:rFonts w:ascii="Tahoma" w:hAnsi="Tahoma" w:cs="Tahoma"/>
          <w:sz w:val="24"/>
          <w:szCs w:val="24"/>
        </w:rPr>
        <w:t xml:space="preserve"> and</w:t>
      </w:r>
      <w:r w:rsidR="00746882" w:rsidRPr="00132AF8">
        <w:rPr>
          <w:rFonts w:ascii="Tahoma" w:hAnsi="Tahoma" w:cs="Tahoma"/>
          <w:sz w:val="24"/>
          <w:szCs w:val="24"/>
        </w:rPr>
        <w:t xml:space="preserve"> </w:t>
      </w:r>
      <w:r w:rsidR="00210F28" w:rsidRPr="00132AF8">
        <w:rPr>
          <w:rFonts w:ascii="Tahoma" w:hAnsi="Tahoma" w:cs="Tahoma"/>
          <w:sz w:val="24"/>
          <w:szCs w:val="24"/>
        </w:rPr>
        <w:t>the high rate of part-time work amongst women it is likely that many of these</w:t>
      </w:r>
      <w:r w:rsidR="00746882" w:rsidRPr="00132AF8">
        <w:rPr>
          <w:rFonts w:ascii="Tahoma" w:hAnsi="Tahoma" w:cs="Tahoma"/>
          <w:sz w:val="24"/>
          <w:szCs w:val="24"/>
        </w:rPr>
        <w:t xml:space="preserve"> </w:t>
      </w:r>
      <w:r w:rsidR="00210F28" w:rsidRPr="00132AF8">
        <w:rPr>
          <w:rFonts w:ascii="Tahoma" w:hAnsi="Tahoma" w:cs="Tahoma"/>
          <w:sz w:val="24"/>
          <w:szCs w:val="24"/>
        </w:rPr>
        <w:t>are in receipt of state benefits to supplement their income. This, combined</w:t>
      </w:r>
      <w:r w:rsidR="005D7308" w:rsidRPr="00132AF8">
        <w:rPr>
          <w:rFonts w:ascii="Tahoma" w:hAnsi="Tahoma" w:cs="Tahoma"/>
          <w:sz w:val="24"/>
          <w:szCs w:val="24"/>
        </w:rPr>
        <w:t xml:space="preserve"> </w:t>
      </w:r>
      <w:r w:rsidR="00210F28" w:rsidRPr="00132AF8">
        <w:rPr>
          <w:rFonts w:ascii="Tahoma" w:hAnsi="Tahoma" w:cs="Tahoma"/>
          <w:sz w:val="24"/>
          <w:szCs w:val="24"/>
        </w:rPr>
        <w:t>with public sector cuts</w:t>
      </w:r>
      <w:r w:rsidR="00746882" w:rsidRPr="00132AF8">
        <w:rPr>
          <w:rFonts w:ascii="Tahoma" w:hAnsi="Tahoma" w:cs="Tahoma"/>
          <w:sz w:val="24"/>
          <w:szCs w:val="24"/>
        </w:rPr>
        <w:t>,</w:t>
      </w:r>
      <w:r w:rsidR="00210F28" w:rsidRPr="00132AF8">
        <w:rPr>
          <w:rFonts w:ascii="Tahoma" w:hAnsi="Tahoma" w:cs="Tahoma"/>
          <w:sz w:val="24"/>
          <w:szCs w:val="24"/>
        </w:rPr>
        <w:t xml:space="preserve"> Welfare Reform and the rise in pension</w:t>
      </w:r>
      <w:r w:rsidR="00746882" w:rsidRPr="00132AF8">
        <w:rPr>
          <w:rFonts w:ascii="Tahoma" w:hAnsi="Tahoma" w:cs="Tahoma"/>
          <w:sz w:val="24"/>
          <w:szCs w:val="24"/>
        </w:rPr>
        <w:t xml:space="preserve"> </w:t>
      </w:r>
      <w:r w:rsidR="00210F28" w:rsidRPr="00132AF8">
        <w:rPr>
          <w:rFonts w:ascii="Tahoma" w:hAnsi="Tahoma" w:cs="Tahoma"/>
          <w:sz w:val="24"/>
          <w:szCs w:val="24"/>
        </w:rPr>
        <w:t xml:space="preserve">ages is likely to significantly impact upon the </w:t>
      </w:r>
      <w:r w:rsidR="00567313" w:rsidRPr="00132AF8">
        <w:rPr>
          <w:rFonts w:ascii="Tahoma" w:hAnsi="Tahoma" w:cs="Tahoma"/>
          <w:sz w:val="24"/>
          <w:szCs w:val="24"/>
        </w:rPr>
        <w:t xml:space="preserve">Newry, </w:t>
      </w:r>
      <w:proofErr w:type="spellStart"/>
      <w:r w:rsidR="00567313" w:rsidRPr="00132AF8">
        <w:rPr>
          <w:rFonts w:ascii="Tahoma" w:hAnsi="Tahoma" w:cs="Tahoma"/>
          <w:sz w:val="24"/>
          <w:szCs w:val="24"/>
        </w:rPr>
        <w:t>Mourne</w:t>
      </w:r>
      <w:proofErr w:type="spellEnd"/>
      <w:r w:rsidR="00567313" w:rsidRPr="00132AF8">
        <w:rPr>
          <w:rFonts w:ascii="Tahoma" w:hAnsi="Tahoma" w:cs="Tahoma"/>
          <w:sz w:val="24"/>
          <w:szCs w:val="24"/>
        </w:rPr>
        <w:t xml:space="preserve"> and </w:t>
      </w:r>
      <w:proofErr w:type="gramStart"/>
      <w:r w:rsidR="00567313" w:rsidRPr="00132AF8">
        <w:rPr>
          <w:rFonts w:ascii="Tahoma" w:hAnsi="Tahoma" w:cs="Tahoma"/>
          <w:sz w:val="24"/>
          <w:szCs w:val="24"/>
        </w:rPr>
        <w:t>Down</w:t>
      </w:r>
      <w:proofErr w:type="gramEnd"/>
      <w:r w:rsidR="00210F28" w:rsidRPr="00132AF8">
        <w:rPr>
          <w:rFonts w:ascii="Tahoma" w:hAnsi="Tahoma" w:cs="Tahoma"/>
          <w:sz w:val="24"/>
          <w:szCs w:val="24"/>
        </w:rPr>
        <w:t xml:space="preserve"> area.</w:t>
      </w:r>
    </w:p>
    <w:p w:rsidR="00262A3F" w:rsidRPr="00132AF8" w:rsidRDefault="00262A3F" w:rsidP="00210F28">
      <w:pPr>
        <w:autoSpaceDE w:val="0"/>
        <w:autoSpaceDN w:val="0"/>
        <w:adjustRightInd w:val="0"/>
        <w:spacing w:after="0" w:line="240" w:lineRule="auto"/>
        <w:rPr>
          <w:rFonts w:ascii="Tahoma" w:hAnsi="Tahoma" w:cs="Tahoma"/>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F20C9" w:rsidRDefault="003F20C9" w:rsidP="00210F28">
      <w:pPr>
        <w:autoSpaceDE w:val="0"/>
        <w:autoSpaceDN w:val="0"/>
        <w:adjustRightInd w:val="0"/>
        <w:spacing w:after="0" w:line="240" w:lineRule="auto"/>
        <w:rPr>
          <w:rFonts w:ascii="Arial" w:hAnsi="Arial" w:cs="Arial"/>
          <w:b/>
          <w:sz w:val="24"/>
          <w:szCs w:val="24"/>
        </w:rPr>
      </w:pPr>
    </w:p>
    <w:p w:rsidR="003A50D7" w:rsidRDefault="00AD3F43" w:rsidP="00210F28">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Figure 3</w:t>
      </w:r>
      <w:r w:rsidR="002320D6" w:rsidRPr="002320D6">
        <w:rPr>
          <w:rFonts w:ascii="Arial" w:hAnsi="Arial" w:cs="Arial"/>
          <w:b/>
          <w:sz w:val="24"/>
          <w:szCs w:val="24"/>
        </w:rPr>
        <w:t>: Percentage of par</w:t>
      </w:r>
      <w:r w:rsidR="00BC1413">
        <w:rPr>
          <w:rFonts w:ascii="Arial" w:hAnsi="Arial" w:cs="Arial"/>
          <w:b/>
          <w:sz w:val="24"/>
          <w:szCs w:val="24"/>
        </w:rPr>
        <w:t>t-time and full-time jobs in NMD</w:t>
      </w:r>
      <w:r w:rsidR="002320D6" w:rsidRPr="002320D6">
        <w:rPr>
          <w:rFonts w:ascii="Arial" w:hAnsi="Arial" w:cs="Arial"/>
          <w:b/>
          <w:sz w:val="24"/>
          <w:szCs w:val="24"/>
        </w:rPr>
        <w:t xml:space="preserve"> by gender</w:t>
      </w:r>
    </w:p>
    <w:p w:rsidR="003F20C9" w:rsidRPr="003F20C9" w:rsidRDefault="003F20C9" w:rsidP="00210F28">
      <w:pPr>
        <w:autoSpaceDE w:val="0"/>
        <w:autoSpaceDN w:val="0"/>
        <w:adjustRightInd w:val="0"/>
        <w:spacing w:after="0" w:line="240" w:lineRule="auto"/>
        <w:rPr>
          <w:rFonts w:ascii="Arial" w:hAnsi="Arial" w:cs="Arial"/>
          <w:b/>
          <w:sz w:val="24"/>
          <w:szCs w:val="24"/>
        </w:rPr>
      </w:pPr>
    </w:p>
    <w:p w:rsidR="00BC1413" w:rsidRDefault="00E21F2D" w:rsidP="00210F28">
      <w:pPr>
        <w:autoSpaceDE w:val="0"/>
        <w:autoSpaceDN w:val="0"/>
        <w:adjustRightInd w:val="0"/>
        <w:spacing w:after="0" w:line="240" w:lineRule="auto"/>
        <w:rPr>
          <w:rFonts w:ascii="Times New Roman" w:hAnsi="Times New Roman" w:cs="Times New Roman"/>
          <w:sz w:val="13"/>
          <w:szCs w:val="13"/>
        </w:rPr>
      </w:pPr>
      <w:r>
        <w:rPr>
          <w:noProof/>
          <w:lang w:eastAsia="en-GB"/>
        </w:rPr>
        <w:drawing>
          <wp:inline distT="0" distB="0" distL="0" distR="0" wp14:anchorId="103AF58D" wp14:editId="0E372D21">
            <wp:extent cx="5210978" cy="2743200"/>
            <wp:effectExtent l="0" t="0" r="2794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50D7" w:rsidRDefault="003A50D7" w:rsidP="00210F28">
      <w:pPr>
        <w:autoSpaceDE w:val="0"/>
        <w:autoSpaceDN w:val="0"/>
        <w:adjustRightInd w:val="0"/>
        <w:spacing w:after="0" w:line="240" w:lineRule="auto"/>
        <w:rPr>
          <w:rFonts w:ascii="Times New Roman" w:hAnsi="Times New Roman" w:cs="Times New Roman"/>
          <w:sz w:val="13"/>
          <w:szCs w:val="13"/>
        </w:rPr>
      </w:pPr>
    </w:p>
    <w:p w:rsidR="003A50D7" w:rsidRPr="00E8017B" w:rsidRDefault="00E8017B" w:rsidP="00210F28">
      <w:pPr>
        <w:autoSpaceDE w:val="0"/>
        <w:autoSpaceDN w:val="0"/>
        <w:adjustRightInd w:val="0"/>
        <w:spacing w:after="0" w:line="240" w:lineRule="auto"/>
        <w:rPr>
          <w:noProof/>
          <w:sz w:val="16"/>
          <w:szCs w:val="16"/>
          <w:lang w:eastAsia="en-GB"/>
        </w:rPr>
      </w:pPr>
      <w:r w:rsidRPr="00E8017B">
        <w:rPr>
          <w:noProof/>
          <w:sz w:val="16"/>
          <w:szCs w:val="16"/>
          <w:lang w:eastAsia="en-GB"/>
        </w:rPr>
        <w:t>Source: DETI Census of Employment 2013, Employee Jobs by District Council Area (LGD 2014)</w:t>
      </w:r>
    </w:p>
    <w:p w:rsidR="003A50D7" w:rsidRDefault="003A50D7" w:rsidP="00210F28">
      <w:pPr>
        <w:autoSpaceDE w:val="0"/>
        <w:autoSpaceDN w:val="0"/>
        <w:adjustRightInd w:val="0"/>
        <w:spacing w:after="0" w:line="240" w:lineRule="auto"/>
        <w:rPr>
          <w:rFonts w:ascii="Times New Roman" w:hAnsi="Times New Roman" w:cs="Times New Roman"/>
          <w:sz w:val="13"/>
          <w:szCs w:val="13"/>
        </w:rPr>
      </w:pPr>
    </w:p>
    <w:p w:rsidR="00262A3F" w:rsidRDefault="00262A3F" w:rsidP="00A522B2">
      <w:pPr>
        <w:autoSpaceDE w:val="0"/>
        <w:autoSpaceDN w:val="0"/>
        <w:adjustRightInd w:val="0"/>
        <w:spacing w:after="0" w:line="240" w:lineRule="auto"/>
        <w:rPr>
          <w:rFonts w:ascii="Arial" w:hAnsi="Arial" w:cs="Arial"/>
          <w:b/>
          <w:bCs/>
          <w:sz w:val="24"/>
          <w:szCs w:val="24"/>
        </w:rPr>
      </w:pPr>
    </w:p>
    <w:p w:rsidR="00A522B2" w:rsidRPr="00132AF8" w:rsidRDefault="00A522B2" w:rsidP="00A522B2">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t>Unemployment</w:t>
      </w:r>
    </w:p>
    <w:p w:rsidR="00B50BC4" w:rsidRPr="00132AF8" w:rsidRDefault="00B50BC4" w:rsidP="00A522B2">
      <w:pPr>
        <w:autoSpaceDE w:val="0"/>
        <w:autoSpaceDN w:val="0"/>
        <w:adjustRightInd w:val="0"/>
        <w:spacing w:after="0" w:line="240" w:lineRule="auto"/>
        <w:rPr>
          <w:rFonts w:ascii="Tahoma" w:hAnsi="Tahoma" w:cs="Tahoma"/>
          <w:b/>
          <w:bCs/>
          <w:sz w:val="24"/>
          <w:szCs w:val="24"/>
        </w:rPr>
      </w:pPr>
    </w:p>
    <w:p w:rsidR="00CB0AC6" w:rsidRPr="00132AF8" w:rsidRDefault="000E4762" w:rsidP="00A522B2">
      <w:pPr>
        <w:autoSpaceDE w:val="0"/>
        <w:autoSpaceDN w:val="0"/>
        <w:adjustRightInd w:val="0"/>
        <w:spacing w:after="0" w:line="240" w:lineRule="auto"/>
        <w:rPr>
          <w:rFonts w:ascii="Tahoma" w:hAnsi="Tahoma" w:cs="Tahoma"/>
          <w:bCs/>
          <w:sz w:val="24"/>
          <w:szCs w:val="24"/>
        </w:rPr>
      </w:pPr>
      <w:r w:rsidRPr="00132AF8">
        <w:rPr>
          <w:rFonts w:ascii="Tahoma" w:hAnsi="Tahoma" w:cs="Tahoma"/>
          <w:b/>
          <w:bCs/>
          <w:sz w:val="24"/>
          <w:szCs w:val="24"/>
        </w:rPr>
        <w:t>3.2</w:t>
      </w:r>
      <w:r w:rsidR="001B0BCA" w:rsidRPr="00132AF8">
        <w:rPr>
          <w:rFonts w:ascii="Tahoma" w:hAnsi="Tahoma" w:cs="Tahoma"/>
          <w:b/>
          <w:bCs/>
          <w:sz w:val="24"/>
          <w:szCs w:val="24"/>
        </w:rPr>
        <w:t>3</w:t>
      </w:r>
      <w:r w:rsidR="001B0BCA" w:rsidRPr="00132AF8">
        <w:rPr>
          <w:rFonts w:ascii="Tahoma" w:hAnsi="Tahoma" w:cs="Tahoma"/>
          <w:bCs/>
          <w:sz w:val="24"/>
          <w:szCs w:val="24"/>
        </w:rPr>
        <w:t xml:space="preserve"> </w:t>
      </w:r>
      <w:r w:rsidR="00866BF0">
        <w:rPr>
          <w:rFonts w:ascii="Tahoma" w:hAnsi="Tahoma" w:cs="Tahoma"/>
          <w:bCs/>
          <w:sz w:val="24"/>
          <w:szCs w:val="24"/>
        </w:rPr>
        <w:tab/>
      </w:r>
      <w:r w:rsidR="00B50BC4" w:rsidRPr="00132AF8">
        <w:rPr>
          <w:rFonts w:ascii="Tahoma" w:hAnsi="Tahoma" w:cs="Tahoma"/>
          <w:bCs/>
          <w:sz w:val="24"/>
          <w:szCs w:val="24"/>
        </w:rPr>
        <w:t>There are two mai</w:t>
      </w:r>
      <w:r w:rsidR="00CB0AC6" w:rsidRPr="00132AF8">
        <w:rPr>
          <w:rFonts w:ascii="Tahoma" w:hAnsi="Tahoma" w:cs="Tahoma"/>
          <w:bCs/>
          <w:sz w:val="24"/>
          <w:szCs w:val="24"/>
        </w:rPr>
        <w:t>n indicators of unemployment:</w:t>
      </w:r>
    </w:p>
    <w:p w:rsidR="00CB0AC6" w:rsidRPr="00132AF8" w:rsidRDefault="00CB0AC6" w:rsidP="00A522B2">
      <w:pPr>
        <w:autoSpaceDE w:val="0"/>
        <w:autoSpaceDN w:val="0"/>
        <w:adjustRightInd w:val="0"/>
        <w:spacing w:after="0" w:line="240" w:lineRule="auto"/>
        <w:rPr>
          <w:rFonts w:ascii="Tahoma" w:hAnsi="Tahoma" w:cs="Tahoma"/>
          <w:bCs/>
          <w:sz w:val="24"/>
          <w:szCs w:val="24"/>
        </w:rPr>
      </w:pPr>
    </w:p>
    <w:p w:rsidR="00CB0AC6" w:rsidRPr="00132AF8" w:rsidRDefault="00CB0AC6" w:rsidP="00435847">
      <w:pPr>
        <w:pStyle w:val="ListParagraph"/>
        <w:numPr>
          <w:ilvl w:val="0"/>
          <w:numId w:val="17"/>
        </w:numPr>
        <w:autoSpaceDE w:val="0"/>
        <w:autoSpaceDN w:val="0"/>
        <w:adjustRightInd w:val="0"/>
        <w:spacing w:after="0" w:line="240" w:lineRule="auto"/>
        <w:jc w:val="both"/>
        <w:rPr>
          <w:rFonts w:ascii="Tahoma" w:hAnsi="Tahoma" w:cs="Tahoma"/>
          <w:bCs/>
          <w:sz w:val="24"/>
          <w:szCs w:val="24"/>
        </w:rPr>
      </w:pPr>
      <w:r w:rsidRPr="00132AF8">
        <w:rPr>
          <w:rFonts w:ascii="Tahoma" w:hAnsi="Tahoma" w:cs="Tahoma"/>
          <w:bCs/>
          <w:sz w:val="24"/>
          <w:szCs w:val="24"/>
        </w:rPr>
        <w:t>T</w:t>
      </w:r>
      <w:r w:rsidR="00B50BC4" w:rsidRPr="00132AF8">
        <w:rPr>
          <w:rFonts w:ascii="Tahoma" w:hAnsi="Tahoma" w:cs="Tahoma"/>
          <w:bCs/>
          <w:sz w:val="24"/>
          <w:szCs w:val="24"/>
        </w:rPr>
        <w:t>he Northern Ireland Labour Force Survey (LFS) measure which follows International Labour Organisation (ILO) guidelines and is the offic</w:t>
      </w:r>
      <w:r w:rsidRPr="00132AF8">
        <w:rPr>
          <w:rFonts w:ascii="Tahoma" w:hAnsi="Tahoma" w:cs="Tahoma"/>
          <w:bCs/>
          <w:sz w:val="24"/>
          <w:szCs w:val="24"/>
        </w:rPr>
        <w:t>ial Northern Ireland measure.</w:t>
      </w:r>
    </w:p>
    <w:p w:rsidR="00B50BC4" w:rsidRPr="00132AF8" w:rsidRDefault="00B50BC4" w:rsidP="00435847">
      <w:pPr>
        <w:pStyle w:val="ListParagraph"/>
        <w:numPr>
          <w:ilvl w:val="0"/>
          <w:numId w:val="17"/>
        </w:numPr>
        <w:autoSpaceDE w:val="0"/>
        <w:autoSpaceDN w:val="0"/>
        <w:adjustRightInd w:val="0"/>
        <w:spacing w:after="0" w:line="240" w:lineRule="auto"/>
        <w:jc w:val="both"/>
        <w:rPr>
          <w:rFonts w:ascii="Tahoma" w:hAnsi="Tahoma" w:cs="Tahoma"/>
          <w:bCs/>
          <w:sz w:val="24"/>
          <w:szCs w:val="24"/>
        </w:rPr>
      </w:pPr>
      <w:r w:rsidRPr="00132AF8">
        <w:rPr>
          <w:rFonts w:ascii="Tahoma" w:hAnsi="Tahoma" w:cs="Tahoma"/>
          <w:bCs/>
          <w:sz w:val="24"/>
          <w:szCs w:val="24"/>
        </w:rPr>
        <w:t>The Northern Ireland Claimant Count which is a measure of the number of persons claiming unemployment related benefit (Job Seekers Allowance).</w:t>
      </w:r>
    </w:p>
    <w:p w:rsidR="00F451A7" w:rsidRPr="00132AF8" w:rsidRDefault="00F451A7" w:rsidP="00A522B2">
      <w:pPr>
        <w:autoSpaceDE w:val="0"/>
        <w:autoSpaceDN w:val="0"/>
        <w:adjustRightInd w:val="0"/>
        <w:spacing w:after="0" w:line="240" w:lineRule="auto"/>
        <w:rPr>
          <w:rFonts w:ascii="Tahoma" w:hAnsi="Tahoma" w:cs="Tahoma"/>
          <w:b/>
          <w:bCs/>
          <w:sz w:val="24"/>
          <w:szCs w:val="24"/>
        </w:rPr>
      </w:pPr>
    </w:p>
    <w:p w:rsidR="00A522B2" w:rsidRPr="00132AF8" w:rsidRDefault="000E4762" w:rsidP="00435847">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3.24</w:t>
      </w:r>
      <w:r w:rsidR="00A522B2" w:rsidRPr="00132AF8">
        <w:rPr>
          <w:rFonts w:ascii="Tahoma" w:hAnsi="Tahoma" w:cs="Tahoma"/>
          <w:b/>
          <w:bCs/>
          <w:sz w:val="24"/>
          <w:szCs w:val="24"/>
        </w:rPr>
        <w:t xml:space="preserve"> </w:t>
      </w:r>
      <w:r w:rsidR="00866BF0">
        <w:rPr>
          <w:rFonts w:ascii="Tahoma" w:hAnsi="Tahoma" w:cs="Tahoma"/>
          <w:b/>
          <w:bCs/>
          <w:sz w:val="24"/>
          <w:szCs w:val="24"/>
        </w:rPr>
        <w:tab/>
      </w:r>
      <w:r w:rsidR="001155BE" w:rsidRPr="00132AF8">
        <w:rPr>
          <w:rFonts w:ascii="Tahoma" w:hAnsi="Tahoma" w:cs="Tahoma"/>
          <w:bCs/>
          <w:sz w:val="24"/>
          <w:szCs w:val="24"/>
        </w:rPr>
        <w:t>In</w:t>
      </w:r>
      <w:r w:rsidR="001155BE" w:rsidRPr="00132AF8">
        <w:rPr>
          <w:rFonts w:ascii="Tahoma" w:hAnsi="Tahoma" w:cs="Tahoma"/>
          <w:b/>
          <w:bCs/>
          <w:sz w:val="24"/>
          <w:szCs w:val="24"/>
        </w:rPr>
        <w:t xml:space="preserve"> </w:t>
      </w:r>
      <w:r w:rsidR="009F4535" w:rsidRPr="00132AF8">
        <w:rPr>
          <w:rFonts w:ascii="Tahoma" w:hAnsi="Tahoma" w:cs="Tahoma"/>
          <w:sz w:val="24"/>
          <w:szCs w:val="24"/>
        </w:rPr>
        <w:t>Newry</w:t>
      </w:r>
      <w:r w:rsidR="001155BE" w:rsidRPr="00132AF8">
        <w:rPr>
          <w:rFonts w:ascii="Tahoma" w:hAnsi="Tahoma" w:cs="Tahoma"/>
          <w:sz w:val="24"/>
          <w:szCs w:val="24"/>
        </w:rPr>
        <w:t xml:space="preserve">, </w:t>
      </w:r>
      <w:proofErr w:type="spellStart"/>
      <w:r w:rsidR="001155BE" w:rsidRPr="00132AF8">
        <w:rPr>
          <w:rFonts w:ascii="Tahoma" w:hAnsi="Tahoma" w:cs="Tahoma"/>
          <w:sz w:val="24"/>
          <w:szCs w:val="24"/>
        </w:rPr>
        <w:t>Mourne</w:t>
      </w:r>
      <w:proofErr w:type="spellEnd"/>
      <w:r w:rsidR="009F4535" w:rsidRPr="00132AF8">
        <w:rPr>
          <w:rFonts w:ascii="Tahoma" w:hAnsi="Tahoma" w:cs="Tahoma"/>
          <w:sz w:val="24"/>
          <w:szCs w:val="24"/>
        </w:rPr>
        <w:t xml:space="preserve"> and </w:t>
      </w:r>
      <w:proofErr w:type="gramStart"/>
      <w:r w:rsidR="009F4535" w:rsidRPr="00132AF8">
        <w:rPr>
          <w:rFonts w:ascii="Tahoma" w:hAnsi="Tahoma" w:cs="Tahoma"/>
          <w:sz w:val="24"/>
          <w:szCs w:val="24"/>
        </w:rPr>
        <w:t>Down</w:t>
      </w:r>
      <w:proofErr w:type="gramEnd"/>
      <w:r w:rsidR="004C3777">
        <w:rPr>
          <w:rFonts w:ascii="Tahoma" w:hAnsi="Tahoma" w:cs="Tahoma"/>
          <w:sz w:val="24"/>
          <w:szCs w:val="24"/>
        </w:rPr>
        <w:t xml:space="preserve"> </w:t>
      </w:r>
      <w:r w:rsidR="008D1110" w:rsidRPr="00132AF8">
        <w:rPr>
          <w:rFonts w:ascii="Tahoma" w:hAnsi="Tahoma" w:cs="Tahoma"/>
          <w:sz w:val="24"/>
          <w:szCs w:val="24"/>
        </w:rPr>
        <w:t>there was a dramatic fall in unemployment rate</w:t>
      </w:r>
      <w:r w:rsidR="00435847">
        <w:rPr>
          <w:rFonts w:ascii="Tahoma" w:hAnsi="Tahoma" w:cs="Tahoma"/>
          <w:sz w:val="24"/>
          <w:szCs w:val="24"/>
        </w:rPr>
        <w:t xml:space="preserve"> </w:t>
      </w:r>
      <w:r w:rsidR="001155BE" w:rsidRPr="00132AF8">
        <w:rPr>
          <w:rFonts w:ascii="Tahoma" w:hAnsi="Tahoma" w:cs="Tahoma"/>
          <w:sz w:val="24"/>
          <w:szCs w:val="24"/>
        </w:rPr>
        <w:t xml:space="preserve">between </w:t>
      </w:r>
      <w:r w:rsidR="008D1110" w:rsidRPr="00132AF8">
        <w:rPr>
          <w:rFonts w:ascii="Tahoma" w:hAnsi="Tahoma" w:cs="Tahoma"/>
          <w:sz w:val="24"/>
          <w:szCs w:val="24"/>
        </w:rPr>
        <w:t xml:space="preserve">the </w:t>
      </w:r>
      <w:r w:rsidR="001155BE" w:rsidRPr="00132AF8">
        <w:rPr>
          <w:rFonts w:ascii="Tahoma" w:hAnsi="Tahoma" w:cs="Tahoma"/>
          <w:sz w:val="24"/>
          <w:szCs w:val="24"/>
        </w:rPr>
        <w:t>1991 &amp;</w:t>
      </w:r>
      <w:r w:rsidR="008D1110" w:rsidRPr="00132AF8">
        <w:rPr>
          <w:rFonts w:ascii="Tahoma" w:hAnsi="Tahoma" w:cs="Tahoma"/>
          <w:sz w:val="24"/>
          <w:szCs w:val="24"/>
        </w:rPr>
        <w:t xml:space="preserve"> 2001 Census</w:t>
      </w:r>
      <w:r w:rsidR="00AD3F43" w:rsidRPr="00132AF8">
        <w:rPr>
          <w:rFonts w:ascii="Tahoma" w:hAnsi="Tahoma" w:cs="Tahoma"/>
          <w:sz w:val="24"/>
          <w:szCs w:val="24"/>
        </w:rPr>
        <w:t>, see figure 4</w:t>
      </w:r>
      <w:r w:rsidR="00616107" w:rsidRPr="00132AF8">
        <w:rPr>
          <w:rFonts w:ascii="Tahoma" w:hAnsi="Tahoma" w:cs="Tahoma"/>
          <w:sz w:val="24"/>
          <w:szCs w:val="24"/>
        </w:rPr>
        <w:t>. The rate of unemployment</w:t>
      </w:r>
      <w:r w:rsidR="00435847">
        <w:rPr>
          <w:rFonts w:ascii="Tahoma" w:hAnsi="Tahoma" w:cs="Tahoma"/>
          <w:sz w:val="24"/>
          <w:szCs w:val="24"/>
        </w:rPr>
        <w:t xml:space="preserve"> </w:t>
      </w:r>
      <w:r w:rsidR="00616107" w:rsidRPr="00132AF8">
        <w:rPr>
          <w:rFonts w:ascii="Tahoma" w:hAnsi="Tahoma" w:cs="Tahoma"/>
          <w:sz w:val="24"/>
          <w:szCs w:val="24"/>
        </w:rPr>
        <w:t>subsequently</w:t>
      </w:r>
      <w:r w:rsidR="000248AB" w:rsidRPr="00132AF8">
        <w:rPr>
          <w:rFonts w:ascii="Tahoma" w:hAnsi="Tahoma" w:cs="Tahoma"/>
          <w:sz w:val="24"/>
          <w:szCs w:val="24"/>
        </w:rPr>
        <w:t xml:space="preserve"> rose between 2001 &amp; </w:t>
      </w:r>
      <w:proofErr w:type="gramStart"/>
      <w:r w:rsidR="000248AB" w:rsidRPr="00132AF8">
        <w:rPr>
          <w:rFonts w:ascii="Tahoma" w:hAnsi="Tahoma" w:cs="Tahoma"/>
          <w:sz w:val="24"/>
          <w:szCs w:val="24"/>
        </w:rPr>
        <w:t>2011,</w:t>
      </w:r>
      <w:proofErr w:type="gramEnd"/>
      <w:r w:rsidR="000248AB" w:rsidRPr="00132AF8">
        <w:rPr>
          <w:rFonts w:ascii="Tahoma" w:hAnsi="Tahoma" w:cs="Tahoma"/>
          <w:sz w:val="24"/>
          <w:szCs w:val="24"/>
        </w:rPr>
        <w:t xml:space="preserve"> however the 2011</w:t>
      </w:r>
      <w:r w:rsidR="008D1110" w:rsidRPr="00132AF8">
        <w:rPr>
          <w:rFonts w:ascii="Tahoma" w:hAnsi="Tahoma" w:cs="Tahoma"/>
          <w:sz w:val="24"/>
          <w:szCs w:val="24"/>
        </w:rPr>
        <w:t xml:space="preserve"> figure should be treated </w:t>
      </w:r>
      <w:r w:rsidR="00616107" w:rsidRPr="00132AF8">
        <w:rPr>
          <w:rFonts w:ascii="Tahoma" w:hAnsi="Tahoma" w:cs="Tahoma"/>
          <w:sz w:val="24"/>
          <w:szCs w:val="24"/>
        </w:rPr>
        <w:t xml:space="preserve">with </w:t>
      </w:r>
      <w:r w:rsidR="008D1110" w:rsidRPr="00132AF8">
        <w:rPr>
          <w:rFonts w:ascii="Tahoma" w:hAnsi="Tahoma" w:cs="Tahoma"/>
          <w:sz w:val="24"/>
          <w:szCs w:val="24"/>
        </w:rPr>
        <w:t>caution as the 2011 means of calculating the rate is based on claimant coun</w:t>
      </w:r>
      <w:r w:rsidR="009C6CAC" w:rsidRPr="00132AF8">
        <w:rPr>
          <w:rFonts w:ascii="Tahoma" w:hAnsi="Tahoma" w:cs="Tahoma"/>
          <w:sz w:val="24"/>
          <w:szCs w:val="24"/>
        </w:rPr>
        <w:t>ts</w:t>
      </w:r>
      <w:r w:rsidR="00435847">
        <w:rPr>
          <w:rFonts w:ascii="Tahoma" w:hAnsi="Tahoma" w:cs="Tahoma"/>
          <w:sz w:val="24"/>
          <w:szCs w:val="24"/>
        </w:rPr>
        <w:t xml:space="preserve"> </w:t>
      </w:r>
      <w:r w:rsidR="009C6CAC" w:rsidRPr="00132AF8">
        <w:rPr>
          <w:rFonts w:ascii="Tahoma" w:hAnsi="Tahoma" w:cs="Tahoma"/>
          <w:sz w:val="24"/>
          <w:szCs w:val="24"/>
        </w:rPr>
        <w:t xml:space="preserve">and varies from the means </w:t>
      </w:r>
      <w:r w:rsidR="00616107" w:rsidRPr="00132AF8">
        <w:rPr>
          <w:rFonts w:ascii="Tahoma" w:hAnsi="Tahoma" w:cs="Tahoma"/>
          <w:sz w:val="24"/>
          <w:szCs w:val="24"/>
        </w:rPr>
        <w:t>used in</w:t>
      </w:r>
      <w:r w:rsidR="000248AB" w:rsidRPr="00132AF8">
        <w:rPr>
          <w:rFonts w:ascii="Tahoma" w:hAnsi="Tahoma" w:cs="Tahoma"/>
          <w:sz w:val="24"/>
          <w:szCs w:val="24"/>
        </w:rPr>
        <w:t xml:space="preserve"> </w:t>
      </w:r>
      <w:r w:rsidR="008D1110" w:rsidRPr="00132AF8">
        <w:rPr>
          <w:rFonts w:ascii="Tahoma" w:hAnsi="Tahoma" w:cs="Tahoma"/>
          <w:sz w:val="24"/>
          <w:szCs w:val="24"/>
        </w:rPr>
        <w:t xml:space="preserve">1991 and 2001. </w:t>
      </w:r>
    </w:p>
    <w:p w:rsidR="00DA134D" w:rsidRDefault="00DA134D" w:rsidP="00A522B2">
      <w:pPr>
        <w:autoSpaceDE w:val="0"/>
        <w:autoSpaceDN w:val="0"/>
        <w:adjustRightInd w:val="0"/>
        <w:spacing w:after="0" w:line="240" w:lineRule="auto"/>
        <w:rPr>
          <w:rFonts w:ascii="Arial" w:hAnsi="Arial" w:cs="Arial"/>
          <w:sz w:val="24"/>
          <w:szCs w:val="24"/>
        </w:rPr>
      </w:pPr>
    </w:p>
    <w:p w:rsidR="00262A3F" w:rsidRDefault="00262A3F"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82693D" w:rsidRDefault="0082693D" w:rsidP="00A522B2">
      <w:pPr>
        <w:autoSpaceDE w:val="0"/>
        <w:autoSpaceDN w:val="0"/>
        <w:adjustRightInd w:val="0"/>
        <w:spacing w:after="0" w:line="240" w:lineRule="auto"/>
        <w:rPr>
          <w:rFonts w:ascii="Arial" w:hAnsi="Arial" w:cs="Arial"/>
          <w:b/>
          <w:bCs/>
          <w:sz w:val="24"/>
          <w:szCs w:val="24"/>
        </w:rPr>
      </w:pPr>
    </w:p>
    <w:p w:rsidR="00457B7F" w:rsidRDefault="00457B7F" w:rsidP="00A522B2">
      <w:pPr>
        <w:autoSpaceDE w:val="0"/>
        <w:autoSpaceDN w:val="0"/>
        <w:adjustRightInd w:val="0"/>
        <w:spacing w:after="0" w:line="240" w:lineRule="auto"/>
        <w:rPr>
          <w:rFonts w:ascii="Arial" w:hAnsi="Arial" w:cs="Arial"/>
          <w:b/>
          <w:bCs/>
          <w:sz w:val="24"/>
          <w:szCs w:val="24"/>
        </w:rPr>
      </w:pPr>
    </w:p>
    <w:p w:rsidR="006778DF" w:rsidRPr="00132AF8" w:rsidRDefault="00AD3F43" w:rsidP="00A522B2">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lastRenderedPageBreak/>
        <w:t>Figure 4</w:t>
      </w:r>
      <w:r w:rsidR="00E439D6" w:rsidRPr="00132AF8">
        <w:rPr>
          <w:rFonts w:ascii="Tahoma" w:hAnsi="Tahoma" w:cs="Tahoma"/>
          <w:b/>
          <w:bCs/>
          <w:sz w:val="24"/>
          <w:szCs w:val="24"/>
        </w:rPr>
        <w:t>: NI &amp; NMD Unemployment Rates 1991-2011</w:t>
      </w:r>
    </w:p>
    <w:p w:rsidR="006778DF" w:rsidRDefault="006778DF" w:rsidP="00A522B2">
      <w:pPr>
        <w:autoSpaceDE w:val="0"/>
        <w:autoSpaceDN w:val="0"/>
        <w:adjustRightInd w:val="0"/>
        <w:spacing w:after="0" w:line="240" w:lineRule="auto"/>
        <w:rPr>
          <w:rFonts w:ascii="Arial" w:hAnsi="Arial" w:cs="Arial"/>
          <w:b/>
          <w:bCs/>
          <w:sz w:val="24"/>
          <w:szCs w:val="24"/>
        </w:rPr>
      </w:pPr>
    </w:p>
    <w:p w:rsidR="006778DF" w:rsidRDefault="006778DF" w:rsidP="00A522B2">
      <w:pPr>
        <w:autoSpaceDE w:val="0"/>
        <w:autoSpaceDN w:val="0"/>
        <w:adjustRightInd w:val="0"/>
        <w:spacing w:after="0" w:line="240" w:lineRule="auto"/>
        <w:rPr>
          <w:rFonts w:ascii="Arial" w:hAnsi="Arial" w:cs="Arial"/>
          <w:b/>
          <w:bCs/>
          <w:sz w:val="24"/>
          <w:szCs w:val="24"/>
        </w:rPr>
      </w:pPr>
    </w:p>
    <w:p w:rsidR="006778DF" w:rsidRDefault="006F48FE" w:rsidP="00A522B2">
      <w:pPr>
        <w:autoSpaceDE w:val="0"/>
        <w:autoSpaceDN w:val="0"/>
        <w:adjustRightInd w:val="0"/>
        <w:spacing w:after="0" w:line="240" w:lineRule="auto"/>
        <w:rPr>
          <w:rFonts w:ascii="Arial" w:hAnsi="Arial" w:cs="Arial"/>
          <w:b/>
          <w:bCs/>
          <w:sz w:val="24"/>
          <w:szCs w:val="24"/>
        </w:rPr>
      </w:pPr>
      <w:r>
        <w:rPr>
          <w:noProof/>
          <w:lang w:eastAsia="en-GB"/>
        </w:rPr>
        <w:drawing>
          <wp:inline distT="0" distB="0" distL="0" distR="0" wp14:anchorId="2E9ABB23" wp14:editId="74E29185">
            <wp:extent cx="5771072" cy="2743200"/>
            <wp:effectExtent l="0" t="0" r="2032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1110" w:rsidRDefault="008D1110" w:rsidP="00A522B2">
      <w:pPr>
        <w:autoSpaceDE w:val="0"/>
        <w:autoSpaceDN w:val="0"/>
        <w:adjustRightInd w:val="0"/>
        <w:spacing w:after="0" w:line="240" w:lineRule="auto"/>
        <w:rPr>
          <w:rFonts w:ascii="Arial" w:hAnsi="Arial" w:cs="Arial"/>
          <w:b/>
          <w:bCs/>
          <w:sz w:val="24"/>
          <w:szCs w:val="24"/>
        </w:rPr>
      </w:pPr>
    </w:p>
    <w:p w:rsidR="002A5671" w:rsidRDefault="002A5671" w:rsidP="002A5671">
      <w:pPr>
        <w:autoSpaceDE w:val="0"/>
        <w:autoSpaceDN w:val="0"/>
        <w:adjustRightInd w:val="0"/>
        <w:spacing w:after="0" w:line="240" w:lineRule="auto"/>
        <w:rPr>
          <w:rFonts w:ascii="Arial" w:hAnsi="Arial" w:cs="Arial"/>
          <w:sz w:val="16"/>
          <w:szCs w:val="16"/>
        </w:rPr>
      </w:pPr>
      <w:r w:rsidRPr="00E8017B">
        <w:rPr>
          <w:rFonts w:ascii="Arial" w:hAnsi="Arial" w:cs="Arial"/>
          <w:sz w:val="16"/>
          <w:szCs w:val="16"/>
        </w:rPr>
        <w:t>Source: NISRA/1991</w:t>
      </w:r>
      <w:r>
        <w:rPr>
          <w:rFonts w:ascii="Arial" w:hAnsi="Arial" w:cs="Arial"/>
          <w:sz w:val="16"/>
          <w:szCs w:val="16"/>
        </w:rPr>
        <w:t xml:space="preserve">, </w:t>
      </w:r>
      <w:r w:rsidRPr="00E8017B">
        <w:rPr>
          <w:rFonts w:ascii="Arial" w:hAnsi="Arial" w:cs="Arial"/>
          <w:sz w:val="16"/>
          <w:szCs w:val="16"/>
        </w:rPr>
        <w:t>2001 &amp; 2011 Census Reports</w:t>
      </w:r>
    </w:p>
    <w:p w:rsidR="008D1110" w:rsidRDefault="008D1110" w:rsidP="00A522B2">
      <w:pPr>
        <w:autoSpaceDE w:val="0"/>
        <w:autoSpaceDN w:val="0"/>
        <w:adjustRightInd w:val="0"/>
        <w:spacing w:after="0" w:line="240" w:lineRule="auto"/>
        <w:rPr>
          <w:rFonts w:ascii="Arial" w:hAnsi="Arial" w:cs="Arial"/>
          <w:b/>
          <w:bCs/>
          <w:sz w:val="24"/>
          <w:szCs w:val="24"/>
        </w:rPr>
      </w:pPr>
    </w:p>
    <w:p w:rsidR="000248AB" w:rsidRPr="00132AF8" w:rsidRDefault="000E4762" w:rsidP="008E411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3.2</w:t>
      </w:r>
      <w:r w:rsidR="000248AB" w:rsidRPr="00132AF8">
        <w:rPr>
          <w:rFonts w:ascii="Tahoma" w:hAnsi="Tahoma" w:cs="Tahoma"/>
          <w:b/>
          <w:bCs/>
          <w:sz w:val="24"/>
          <w:szCs w:val="24"/>
        </w:rPr>
        <w:t>5</w:t>
      </w:r>
      <w:r w:rsidR="000248AB" w:rsidRPr="00132AF8">
        <w:rPr>
          <w:rFonts w:ascii="Tahoma" w:hAnsi="Tahoma" w:cs="Tahoma"/>
          <w:bCs/>
          <w:sz w:val="24"/>
          <w:szCs w:val="24"/>
        </w:rPr>
        <w:t xml:space="preserve"> </w:t>
      </w:r>
      <w:r w:rsidR="00866BF0">
        <w:rPr>
          <w:rFonts w:ascii="Tahoma" w:hAnsi="Tahoma" w:cs="Tahoma"/>
          <w:bCs/>
          <w:sz w:val="24"/>
          <w:szCs w:val="24"/>
        </w:rPr>
        <w:tab/>
      </w:r>
      <w:r w:rsidR="000248AB" w:rsidRPr="00132AF8">
        <w:rPr>
          <w:rFonts w:ascii="Tahoma" w:hAnsi="Tahoma" w:cs="Tahoma"/>
          <w:bCs/>
          <w:sz w:val="24"/>
          <w:szCs w:val="24"/>
        </w:rPr>
        <w:t>The Northern Ireland seasonally adjusted unemployment rate, as measured by the Labour Force Survey (LFS), was estimated at 6.2% for the period January - March 2015. This was down 1.0 percentage point from the rate recorded the previous year (7.2%).</w:t>
      </w:r>
    </w:p>
    <w:p w:rsidR="000248AB" w:rsidRPr="00132AF8" w:rsidRDefault="000248AB" w:rsidP="008E411D">
      <w:pPr>
        <w:jc w:val="both"/>
        <w:rPr>
          <w:rFonts w:ascii="Tahoma" w:hAnsi="Tahoma" w:cs="Tahoma"/>
          <w:bCs/>
          <w:sz w:val="24"/>
          <w:szCs w:val="24"/>
        </w:rPr>
      </w:pPr>
    </w:p>
    <w:p w:rsidR="00750A42" w:rsidRPr="00132AF8" w:rsidRDefault="000E4762" w:rsidP="008E411D">
      <w:pPr>
        <w:jc w:val="both"/>
        <w:rPr>
          <w:rFonts w:ascii="Tahoma" w:hAnsi="Tahoma" w:cs="Tahoma"/>
          <w:bCs/>
          <w:sz w:val="24"/>
          <w:szCs w:val="24"/>
        </w:rPr>
      </w:pPr>
      <w:r w:rsidRPr="00132AF8">
        <w:rPr>
          <w:rFonts w:ascii="Tahoma" w:hAnsi="Tahoma" w:cs="Tahoma"/>
          <w:b/>
          <w:bCs/>
          <w:sz w:val="24"/>
          <w:szCs w:val="24"/>
        </w:rPr>
        <w:t>3.26</w:t>
      </w:r>
      <w:r w:rsidR="000A78F1" w:rsidRPr="00132AF8">
        <w:rPr>
          <w:rFonts w:ascii="Tahoma" w:hAnsi="Tahoma" w:cs="Tahoma"/>
          <w:bCs/>
          <w:sz w:val="24"/>
          <w:szCs w:val="24"/>
        </w:rPr>
        <w:t xml:space="preserve"> </w:t>
      </w:r>
      <w:r w:rsidR="00866BF0">
        <w:rPr>
          <w:rFonts w:ascii="Tahoma" w:hAnsi="Tahoma" w:cs="Tahoma"/>
          <w:bCs/>
          <w:sz w:val="24"/>
          <w:szCs w:val="24"/>
        </w:rPr>
        <w:tab/>
      </w:r>
      <w:r w:rsidR="00750A42" w:rsidRPr="00132AF8">
        <w:rPr>
          <w:rFonts w:ascii="Tahoma" w:hAnsi="Tahoma" w:cs="Tahoma"/>
          <w:bCs/>
          <w:sz w:val="24"/>
          <w:szCs w:val="24"/>
        </w:rPr>
        <w:t>The number of people claiming benefits is a useful guide to the fluctuation of unemployment rates between census years. Figures for unemployment rates are not available at district level after 2001 and therefore the number of persons claiming benefit may be used as a guide.</w:t>
      </w:r>
    </w:p>
    <w:p w:rsidR="006778DF" w:rsidRDefault="006778D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19114F" w:rsidRDefault="0019114F" w:rsidP="00A522B2">
      <w:pPr>
        <w:autoSpaceDE w:val="0"/>
        <w:autoSpaceDN w:val="0"/>
        <w:adjustRightInd w:val="0"/>
        <w:spacing w:after="0" w:line="240" w:lineRule="auto"/>
        <w:rPr>
          <w:rFonts w:ascii="Arial" w:hAnsi="Arial" w:cs="Arial"/>
          <w:b/>
          <w:bCs/>
          <w:sz w:val="24"/>
          <w:szCs w:val="24"/>
        </w:rPr>
      </w:pPr>
    </w:p>
    <w:p w:rsidR="002C7057" w:rsidRPr="00132AF8" w:rsidRDefault="00750A42" w:rsidP="00A522B2">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lastRenderedPageBreak/>
        <w:t>Fi</w:t>
      </w:r>
      <w:r w:rsidR="00AD3F43" w:rsidRPr="00132AF8">
        <w:rPr>
          <w:rFonts w:ascii="Tahoma" w:hAnsi="Tahoma" w:cs="Tahoma"/>
          <w:b/>
          <w:bCs/>
          <w:sz w:val="24"/>
          <w:szCs w:val="24"/>
        </w:rPr>
        <w:t>gure 5</w:t>
      </w:r>
      <w:r w:rsidR="00980E2D" w:rsidRPr="00132AF8">
        <w:rPr>
          <w:rFonts w:ascii="Tahoma" w:hAnsi="Tahoma" w:cs="Tahoma"/>
          <w:b/>
          <w:bCs/>
          <w:sz w:val="24"/>
          <w:szCs w:val="24"/>
        </w:rPr>
        <w:t>: Trends in Claimant Count Rates NI &amp; NMD 2001-2014</w:t>
      </w:r>
    </w:p>
    <w:p w:rsidR="00A522B2" w:rsidRDefault="00A522B2" w:rsidP="00210F28">
      <w:pPr>
        <w:autoSpaceDE w:val="0"/>
        <w:autoSpaceDN w:val="0"/>
        <w:adjustRightInd w:val="0"/>
        <w:spacing w:after="0" w:line="240" w:lineRule="auto"/>
        <w:rPr>
          <w:rFonts w:ascii="Arial" w:hAnsi="Arial" w:cs="Arial"/>
          <w:sz w:val="24"/>
          <w:szCs w:val="24"/>
        </w:rPr>
      </w:pPr>
    </w:p>
    <w:p w:rsidR="005F150E" w:rsidRDefault="00926A1C" w:rsidP="00210F28">
      <w:pPr>
        <w:autoSpaceDE w:val="0"/>
        <w:autoSpaceDN w:val="0"/>
        <w:adjustRightInd w:val="0"/>
        <w:spacing w:after="0" w:line="240" w:lineRule="auto"/>
        <w:rPr>
          <w:rFonts w:ascii="Arial" w:hAnsi="Arial" w:cs="Arial"/>
          <w:sz w:val="24"/>
          <w:szCs w:val="24"/>
        </w:rPr>
      </w:pPr>
      <w:r>
        <w:rPr>
          <w:noProof/>
          <w:lang w:eastAsia="en-GB"/>
        </w:rPr>
        <w:drawing>
          <wp:inline distT="0" distB="0" distL="0" distR="0" wp14:anchorId="117DCF39" wp14:editId="6A4997F2">
            <wp:extent cx="5840083" cy="2579298"/>
            <wp:effectExtent l="0" t="0" r="2794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114F" w:rsidRDefault="0019114F" w:rsidP="00210F28">
      <w:pPr>
        <w:autoSpaceDE w:val="0"/>
        <w:autoSpaceDN w:val="0"/>
        <w:adjustRightInd w:val="0"/>
        <w:spacing w:after="0" w:line="240" w:lineRule="auto"/>
        <w:rPr>
          <w:rFonts w:ascii="Arial" w:hAnsi="Arial" w:cs="Arial"/>
          <w:b/>
          <w:sz w:val="24"/>
          <w:szCs w:val="24"/>
        </w:rPr>
      </w:pPr>
    </w:p>
    <w:p w:rsidR="0019114F" w:rsidRDefault="0019114F" w:rsidP="00210F28">
      <w:pPr>
        <w:autoSpaceDE w:val="0"/>
        <w:autoSpaceDN w:val="0"/>
        <w:adjustRightInd w:val="0"/>
        <w:spacing w:after="0" w:line="240" w:lineRule="auto"/>
        <w:rPr>
          <w:rFonts w:ascii="Arial" w:hAnsi="Arial" w:cs="Arial"/>
          <w:b/>
          <w:sz w:val="24"/>
          <w:szCs w:val="24"/>
        </w:rPr>
      </w:pPr>
    </w:p>
    <w:p w:rsidR="00980E2D" w:rsidRPr="00132AF8" w:rsidRDefault="006778DF" w:rsidP="00210F28">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Table 5</w:t>
      </w:r>
      <w:r w:rsidR="00980E2D" w:rsidRPr="00132AF8">
        <w:rPr>
          <w:rFonts w:ascii="Tahoma" w:hAnsi="Tahoma" w:cs="Tahoma"/>
          <w:b/>
          <w:sz w:val="24"/>
          <w:szCs w:val="24"/>
        </w:rPr>
        <w:t>: NI &amp; NMD Claimant Count Annual Averages 2001 – 2014</w:t>
      </w:r>
    </w:p>
    <w:p w:rsidR="00980E2D" w:rsidRDefault="00980E2D" w:rsidP="00210F28">
      <w:pPr>
        <w:autoSpaceDE w:val="0"/>
        <w:autoSpaceDN w:val="0"/>
        <w:adjustRightInd w:val="0"/>
        <w:spacing w:after="0" w:line="240" w:lineRule="auto"/>
        <w:rPr>
          <w:rFonts w:ascii="Arial" w:hAnsi="Arial" w:cs="Arial"/>
          <w:sz w:val="24"/>
          <w:szCs w:val="24"/>
        </w:rPr>
      </w:pPr>
    </w:p>
    <w:tbl>
      <w:tblPr>
        <w:tblW w:w="10346" w:type="dxa"/>
        <w:tblInd w:w="-649" w:type="dxa"/>
        <w:tblLook w:val="04A0" w:firstRow="1" w:lastRow="0" w:firstColumn="1" w:lastColumn="0" w:noHBand="0" w:noVBand="1"/>
      </w:tblPr>
      <w:tblGrid>
        <w:gridCol w:w="1054"/>
        <w:gridCol w:w="663"/>
        <w:gridCol w:w="663"/>
        <w:gridCol w:w="663"/>
        <w:gridCol w:w="663"/>
        <w:gridCol w:w="663"/>
        <w:gridCol w:w="663"/>
        <w:gridCol w:w="663"/>
        <w:gridCol w:w="663"/>
        <w:gridCol w:w="663"/>
        <w:gridCol w:w="663"/>
        <w:gridCol w:w="663"/>
        <w:gridCol w:w="663"/>
        <w:gridCol w:w="663"/>
        <w:gridCol w:w="673"/>
      </w:tblGrid>
      <w:tr w:rsidR="00980E2D" w:rsidRPr="00980E2D" w:rsidTr="006778DF">
        <w:trPr>
          <w:trHeight w:val="300"/>
        </w:trPr>
        <w:tc>
          <w:tcPr>
            <w:tcW w:w="105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 </w:t>
            </w:r>
            <w:proofErr w:type="spellStart"/>
            <w:r>
              <w:rPr>
                <w:rFonts w:ascii="Calibri" w:eastAsia="Times New Roman" w:hAnsi="Calibri" w:cs="Times New Roman"/>
                <w:b/>
                <w:color w:val="000000"/>
                <w:lang w:eastAsia="en-GB"/>
              </w:rPr>
              <w:t>Lgd</w:t>
            </w:r>
            <w:proofErr w:type="spellEnd"/>
            <w:r>
              <w:rPr>
                <w:rFonts w:ascii="Calibri" w:eastAsia="Times New Roman" w:hAnsi="Calibri" w:cs="Times New Roman"/>
                <w:b/>
                <w:color w:val="000000"/>
                <w:lang w:eastAsia="en-GB"/>
              </w:rPr>
              <w:t xml:space="preserve"> Claimant Count Annual Averages (%)</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2001</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2002</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2003</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2004</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2005</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2006</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2007</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2008</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2009</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2010</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2011</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2012</w:t>
            </w:r>
          </w:p>
        </w:tc>
        <w:tc>
          <w:tcPr>
            <w:tcW w:w="66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2013</w:t>
            </w:r>
          </w:p>
        </w:tc>
        <w:tc>
          <w:tcPr>
            <w:tcW w:w="673" w:type="dxa"/>
            <w:tcBorders>
              <w:top w:val="single" w:sz="4" w:space="0" w:color="auto"/>
              <w:left w:val="nil"/>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jc w:val="right"/>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2014</w:t>
            </w:r>
          </w:p>
        </w:tc>
      </w:tr>
      <w:tr w:rsidR="00980E2D" w:rsidRPr="00980E2D" w:rsidTr="006778DF">
        <w:trPr>
          <w:trHeight w:val="300"/>
        </w:trPr>
        <w:tc>
          <w:tcPr>
            <w:tcW w:w="1054" w:type="dxa"/>
            <w:tcBorders>
              <w:top w:val="nil"/>
              <w:left w:val="single" w:sz="4" w:space="0" w:color="auto"/>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c>
          <w:tcPr>
            <w:tcW w:w="67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 </w:t>
            </w:r>
          </w:p>
        </w:tc>
      </w:tr>
      <w:tr w:rsidR="00980E2D" w:rsidRPr="00980E2D" w:rsidTr="006778DF">
        <w:trPr>
          <w:trHeight w:val="300"/>
        </w:trPr>
        <w:tc>
          <w:tcPr>
            <w:tcW w:w="1054" w:type="dxa"/>
            <w:tcBorders>
              <w:top w:val="nil"/>
              <w:left w:val="single" w:sz="4" w:space="0" w:color="auto"/>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NI</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3.7</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3.2</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2.6</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2.5</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4.2</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4.9</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5.4</w:t>
            </w:r>
          </w:p>
        </w:tc>
        <w:tc>
          <w:tcPr>
            <w:tcW w:w="67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4.6</w:t>
            </w:r>
          </w:p>
        </w:tc>
      </w:tr>
      <w:tr w:rsidR="00980E2D" w:rsidRPr="00980E2D" w:rsidTr="006778DF">
        <w:trPr>
          <w:trHeight w:val="300"/>
        </w:trPr>
        <w:tc>
          <w:tcPr>
            <w:tcW w:w="1054" w:type="dxa"/>
            <w:tcBorders>
              <w:top w:val="nil"/>
              <w:left w:val="single" w:sz="4" w:space="0" w:color="auto"/>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NM</w:t>
            </w:r>
            <w:r w:rsidR="00926A1C">
              <w:rPr>
                <w:rFonts w:ascii="Calibri" w:eastAsia="Times New Roman" w:hAnsi="Calibri" w:cs="Times New Roman"/>
                <w:b/>
                <w:color w:val="000000"/>
                <w:lang w:eastAsia="en-GB"/>
              </w:rPr>
              <w:t>D</w:t>
            </w:r>
            <w:r w:rsidRPr="00980E2D">
              <w:rPr>
                <w:rFonts w:ascii="Calibri" w:eastAsia="Times New Roman" w:hAnsi="Calibri" w:cs="Times New Roman"/>
                <w:b/>
                <w:color w:val="000000"/>
                <w:lang w:eastAsia="en-GB"/>
              </w:rPr>
              <w:t>C</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3.7</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1.8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2.2</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6.1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5.5</w:t>
            </w:r>
          </w:p>
        </w:tc>
        <w:tc>
          <w:tcPr>
            <w:tcW w:w="67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4.6</w:t>
            </w:r>
          </w:p>
        </w:tc>
      </w:tr>
      <w:tr w:rsidR="00980E2D" w:rsidRPr="00980E2D" w:rsidTr="00926A1C">
        <w:trPr>
          <w:trHeight w:val="300"/>
        </w:trPr>
        <w:tc>
          <w:tcPr>
            <w:tcW w:w="1054" w:type="dxa"/>
            <w:tcBorders>
              <w:top w:val="nil"/>
              <w:left w:val="single" w:sz="4" w:space="0" w:color="auto"/>
              <w:bottom w:val="single" w:sz="4" w:space="0" w:color="auto"/>
              <w:right w:val="single" w:sz="4" w:space="0" w:color="auto"/>
            </w:tcBorders>
            <w:shd w:val="clear" w:color="000000" w:fill="BFBFBF"/>
            <w:noWrap/>
            <w:vAlign w:val="bottom"/>
            <w:hideMark/>
          </w:tcPr>
          <w:p w:rsidR="00980E2D" w:rsidRPr="00980E2D" w:rsidRDefault="00980E2D" w:rsidP="008633D6">
            <w:pPr>
              <w:spacing w:after="0" w:line="240" w:lineRule="auto"/>
              <w:rPr>
                <w:rFonts w:ascii="Calibri" w:eastAsia="Times New Roman" w:hAnsi="Calibri" w:cs="Times New Roman"/>
                <w:b/>
                <w:color w:val="000000"/>
                <w:lang w:eastAsia="en-GB"/>
              </w:rPr>
            </w:pPr>
            <w:r w:rsidRPr="00980E2D">
              <w:rPr>
                <w:rFonts w:ascii="Calibri" w:eastAsia="Times New Roman" w:hAnsi="Calibri" w:cs="Times New Roman"/>
                <w:b/>
                <w:color w:val="000000"/>
                <w:lang w:eastAsia="en-GB"/>
              </w:rPr>
              <w:t>DDC</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3.2</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3</w:t>
            </w:r>
            <w:r w:rsidR="000F61AA">
              <w:rPr>
                <w:rFonts w:ascii="Calibri" w:eastAsia="Times New Roman" w:hAnsi="Calibri" w:cs="Times New Roman"/>
                <w:color w:val="000000"/>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2.9</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2.6</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1.8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2.3</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4.1</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4.8</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5.0</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5.4</w:t>
            </w:r>
          </w:p>
        </w:tc>
        <w:tc>
          <w:tcPr>
            <w:tcW w:w="66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5.3</w:t>
            </w:r>
          </w:p>
        </w:tc>
        <w:tc>
          <w:tcPr>
            <w:tcW w:w="673" w:type="dxa"/>
            <w:tcBorders>
              <w:top w:val="nil"/>
              <w:left w:val="nil"/>
              <w:bottom w:val="single" w:sz="4" w:space="0" w:color="auto"/>
              <w:right w:val="single" w:sz="4" w:space="0" w:color="auto"/>
            </w:tcBorders>
            <w:shd w:val="clear" w:color="auto" w:fill="auto"/>
            <w:noWrap/>
            <w:vAlign w:val="bottom"/>
            <w:hideMark/>
          </w:tcPr>
          <w:p w:rsidR="00980E2D" w:rsidRPr="00980E2D" w:rsidRDefault="00980E2D" w:rsidP="008633D6">
            <w:pPr>
              <w:spacing w:after="0" w:line="240" w:lineRule="auto"/>
              <w:jc w:val="right"/>
              <w:rPr>
                <w:rFonts w:ascii="Calibri" w:eastAsia="Times New Roman" w:hAnsi="Calibri" w:cs="Times New Roman"/>
                <w:color w:val="000000"/>
                <w:lang w:eastAsia="en-GB"/>
              </w:rPr>
            </w:pPr>
            <w:r w:rsidRPr="00980E2D">
              <w:rPr>
                <w:rFonts w:ascii="Calibri" w:eastAsia="Times New Roman" w:hAnsi="Calibri" w:cs="Times New Roman"/>
                <w:color w:val="000000"/>
                <w:lang w:eastAsia="en-GB"/>
              </w:rPr>
              <w:t>4.6</w:t>
            </w:r>
          </w:p>
        </w:tc>
      </w:tr>
      <w:tr w:rsidR="00926A1C" w:rsidRPr="00980E2D" w:rsidTr="00926A1C">
        <w:trPr>
          <w:trHeight w:val="300"/>
        </w:trPr>
        <w:tc>
          <w:tcPr>
            <w:tcW w:w="105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926A1C" w:rsidRPr="00980E2D" w:rsidRDefault="00926A1C" w:rsidP="008633D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NMD</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4.0</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3.1</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4.2</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5.3</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5.5</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5.6</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5.4</w:t>
            </w:r>
          </w:p>
        </w:tc>
        <w:tc>
          <w:tcPr>
            <w:tcW w:w="673" w:type="dxa"/>
            <w:tcBorders>
              <w:top w:val="single" w:sz="4" w:space="0" w:color="auto"/>
              <w:left w:val="nil"/>
              <w:bottom w:val="single" w:sz="4" w:space="0" w:color="auto"/>
              <w:right w:val="single" w:sz="4" w:space="0" w:color="auto"/>
            </w:tcBorders>
            <w:shd w:val="clear" w:color="auto" w:fill="auto"/>
            <w:noWrap/>
            <w:vAlign w:val="bottom"/>
          </w:tcPr>
          <w:p w:rsidR="00926A1C" w:rsidRPr="00980E2D" w:rsidRDefault="000F61AA" w:rsidP="008633D6">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4.6</w:t>
            </w:r>
          </w:p>
        </w:tc>
      </w:tr>
    </w:tbl>
    <w:p w:rsidR="00980E2D" w:rsidRDefault="00980E2D" w:rsidP="00210F28">
      <w:pPr>
        <w:autoSpaceDE w:val="0"/>
        <w:autoSpaceDN w:val="0"/>
        <w:adjustRightInd w:val="0"/>
        <w:spacing w:after="0" w:line="240" w:lineRule="auto"/>
        <w:rPr>
          <w:rFonts w:ascii="Arial" w:hAnsi="Arial" w:cs="Arial"/>
          <w:sz w:val="24"/>
          <w:szCs w:val="24"/>
        </w:rPr>
      </w:pPr>
    </w:p>
    <w:p w:rsidR="00980E2D" w:rsidRDefault="00980E2D" w:rsidP="00210F28">
      <w:pPr>
        <w:autoSpaceDE w:val="0"/>
        <w:autoSpaceDN w:val="0"/>
        <w:adjustRightInd w:val="0"/>
        <w:spacing w:after="0" w:line="240" w:lineRule="auto"/>
        <w:rPr>
          <w:rFonts w:ascii="Arial" w:hAnsi="Arial" w:cs="Arial"/>
          <w:sz w:val="24"/>
          <w:szCs w:val="24"/>
        </w:rPr>
      </w:pPr>
    </w:p>
    <w:p w:rsidR="00980E2D" w:rsidRPr="00C464A8" w:rsidRDefault="00980E2D" w:rsidP="00980E2D">
      <w:pPr>
        <w:autoSpaceDE w:val="0"/>
        <w:autoSpaceDN w:val="0"/>
        <w:adjustRightInd w:val="0"/>
        <w:spacing w:after="0" w:line="240" w:lineRule="auto"/>
        <w:rPr>
          <w:rFonts w:ascii="Arial" w:hAnsi="Arial" w:cs="Arial"/>
          <w:sz w:val="16"/>
          <w:szCs w:val="16"/>
        </w:rPr>
      </w:pPr>
      <w:r w:rsidRPr="00C464A8">
        <w:rPr>
          <w:rFonts w:ascii="Arial" w:hAnsi="Arial" w:cs="Arial"/>
          <w:sz w:val="16"/>
          <w:szCs w:val="16"/>
        </w:rPr>
        <w:t>Source: NISRA 2011 Census/Claimant Count Annual Averages (administrative Geographies)</w:t>
      </w:r>
    </w:p>
    <w:p w:rsidR="00306B81" w:rsidRPr="00980E2D" w:rsidRDefault="00306B81" w:rsidP="00980E2D">
      <w:pPr>
        <w:autoSpaceDE w:val="0"/>
        <w:autoSpaceDN w:val="0"/>
        <w:adjustRightInd w:val="0"/>
        <w:spacing w:after="0" w:line="240" w:lineRule="auto"/>
        <w:rPr>
          <w:rFonts w:ascii="Arial" w:hAnsi="Arial" w:cs="Arial"/>
          <w:sz w:val="20"/>
          <w:szCs w:val="20"/>
        </w:rPr>
      </w:pPr>
    </w:p>
    <w:p w:rsidR="00980E2D" w:rsidRDefault="00980E2D" w:rsidP="00210F28">
      <w:pPr>
        <w:autoSpaceDE w:val="0"/>
        <w:autoSpaceDN w:val="0"/>
        <w:adjustRightInd w:val="0"/>
        <w:spacing w:after="0" w:line="240" w:lineRule="auto"/>
        <w:rPr>
          <w:rFonts w:ascii="Arial" w:hAnsi="Arial" w:cs="Arial"/>
          <w:sz w:val="24"/>
          <w:szCs w:val="24"/>
        </w:rPr>
      </w:pPr>
    </w:p>
    <w:p w:rsidR="00980E2D" w:rsidRPr="00132AF8" w:rsidRDefault="000E4762"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3.27</w:t>
      </w:r>
      <w:r w:rsidR="00980E2D" w:rsidRPr="00132AF8">
        <w:rPr>
          <w:rFonts w:ascii="Tahoma" w:hAnsi="Tahoma" w:cs="Tahoma"/>
          <w:sz w:val="24"/>
          <w:szCs w:val="24"/>
        </w:rPr>
        <w:t xml:space="preserve"> </w:t>
      </w:r>
      <w:r w:rsidR="00866BF0">
        <w:rPr>
          <w:rFonts w:ascii="Tahoma" w:hAnsi="Tahoma" w:cs="Tahoma"/>
          <w:sz w:val="24"/>
          <w:szCs w:val="24"/>
        </w:rPr>
        <w:tab/>
      </w:r>
      <w:r w:rsidR="00980E2D" w:rsidRPr="00132AF8">
        <w:rPr>
          <w:rFonts w:ascii="Tahoma" w:hAnsi="Tahoma" w:cs="Tahoma"/>
          <w:sz w:val="24"/>
          <w:szCs w:val="24"/>
        </w:rPr>
        <w:t xml:space="preserve">Claimant count rates suggest that unemployment further declined after 2001 with the lowest rates recorded in the two districts in 2007 which were both under the Northern Ireland average (2.1%). Since then, unemployment rose steadily as a result of </w:t>
      </w:r>
      <w:r w:rsidR="00AD3F43" w:rsidRPr="00132AF8">
        <w:rPr>
          <w:rFonts w:ascii="Tahoma" w:hAnsi="Tahoma" w:cs="Tahoma"/>
          <w:sz w:val="24"/>
          <w:szCs w:val="24"/>
        </w:rPr>
        <w:t>the economic recession (Figure 5</w:t>
      </w:r>
      <w:r w:rsidR="00980E2D" w:rsidRPr="00132AF8">
        <w:rPr>
          <w:rFonts w:ascii="Tahoma" w:hAnsi="Tahoma" w:cs="Tahoma"/>
          <w:sz w:val="24"/>
          <w:szCs w:val="24"/>
        </w:rPr>
        <w:t>). Monthly claimant figures for April 2015 show a 20% reduction in claimant c</w:t>
      </w:r>
      <w:r w:rsidRPr="00132AF8">
        <w:rPr>
          <w:rFonts w:ascii="Tahoma" w:hAnsi="Tahoma" w:cs="Tahoma"/>
          <w:sz w:val="24"/>
          <w:szCs w:val="24"/>
        </w:rPr>
        <w:t xml:space="preserve">ounts over the year with Newry and </w:t>
      </w:r>
      <w:proofErr w:type="spellStart"/>
      <w:r w:rsidR="00980E2D" w:rsidRPr="00132AF8">
        <w:rPr>
          <w:rFonts w:ascii="Tahoma" w:hAnsi="Tahoma" w:cs="Tahoma"/>
          <w:sz w:val="24"/>
          <w:szCs w:val="24"/>
        </w:rPr>
        <w:t>Mourne</w:t>
      </w:r>
      <w:proofErr w:type="spellEnd"/>
      <w:r w:rsidR="00980E2D" w:rsidRPr="00132AF8">
        <w:rPr>
          <w:rFonts w:ascii="Tahoma" w:hAnsi="Tahoma" w:cs="Tahoma"/>
          <w:sz w:val="24"/>
          <w:szCs w:val="24"/>
        </w:rPr>
        <w:t xml:space="preserve"> down by 28.1% and </w:t>
      </w:r>
      <w:proofErr w:type="gramStart"/>
      <w:r w:rsidR="00980E2D" w:rsidRPr="00132AF8">
        <w:rPr>
          <w:rFonts w:ascii="Tahoma" w:hAnsi="Tahoma" w:cs="Tahoma"/>
          <w:sz w:val="24"/>
          <w:szCs w:val="24"/>
        </w:rPr>
        <w:t>Down</w:t>
      </w:r>
      <w:proofErr w:type="gramEnd"/>
      <w:r w:rsidR="00980E2D" w:rsidRPr="00132AF8">
        <w:rPr>
          <w:rFonts w:ascii="Tahoma" w:hAnsi="Tahoma" w:cs="Tahoma"/>
          <w:sz w:val="24"/>
          <w:szCs w:val="24"/>
        </w:rPr>
        <w:t xml:space="preserve"> reduced by 17.7%. The unadjusted figures for the number of people claiming unemployment related benefits in Northe</w:t>
      </w:r>
      <w:r w:rsidR="002E5190" w:rsidRPr="00132AF8">
        <w:rPr>
          <w:rFonts w:ascii="Tahoma" w:hAnsi="Tahoma" w:cs="Tahoma"/>
          <w:sz w:val="24"/>
          <w:szCs w:val="24"/>
        </w:rPr>
        <w:t>rn Ireland stood at 45,885</w:t>
      </w:r>
      <w:r w:rsidR="00980E2D" w:rsidRPr="00132AF8">
        <w:rPr>
          <w:rFonts w:ascii="Tahoma" w:hAnsi="Tahoma" w:cs="Tahoma"/>
          <w:sz w:val="24"/>
          <w:szCs w:val="24"/>
        </w:rPr>
        <w:t xml:space="preserve"> in</w:t>
      </w:r>
      <w:r w:rsidR="001C2ADD" w:rsidRPr="00132AF8">
        <w:rPr>
          <w:rFonts w:ascii="Tahoma" w:hAnsi="Tahoma" w:cs="Tahoma"/>
          <w:sz w:val="24"/>
          <w:szCs w:val="24"/>
        </w:rPr>
        <w:t xml:space="preserve"> March 2015</w:t>
      </w:r>
      <w:r w:rsidR="002E5190" w:rsidRPr="00132AF8">
        <w:rPr>
          <w:rStyle w:val="FootnoteReference"/>
          <w:rFonts w:ascii="Tahoma" w:hAnsi="Tahoma" w:cs="Tahoma"/>
          <w:sz w:val="24"/>
          <w:szCs w:val="24"/>
        </w:rPr>
        <w:footnoteReference w:id="19"/>
      </w:r>
      <w:r w:rsidR="00980E2D" w:rsidRPr="00132AF8">
        <w:rPr>
          <w:rFonts w:ascii="Tahoma" w:hAnsi="Tahoma" w:cs="Tahoma"/>
          <w:sz w:val="24"/>
          <w:szCs w:val="24"/>
        </w:rPr>
        <w:t xml:space="preserve">. This translates to claimant counts of 2,298(3.6%) and 1,722 (3.9%) for Newry and </w:t>
      </w:r>
      <w:proofErr w:type="spellStart"/>
      <w:r w:rsidR="00980E2D" w:rsidRPr="00132AF8">
        <w:rPr>
          <w:rFonts w:ascii="Tahoma" w:hAnsi="Tahoma" w:cs="Tahoma"/>
          <w:sz w:val="24"/>
          <w:szCs w:val="24"/>
        </w:rPr>
        <w:t>Mourne</w:t>
      </w:r>
      <w:proofErr w:type="spellEnd"/>
      <w:r w:rsidR="00980E2D" w:rsidRPr="00132AF8">
        <w:rPr>
          <w:rFonts w:ascii="Tahoma" w:hAnsi="Tahoma" w:cs="Tahoma"/>
          <w:sz w:val="24"/>
          <w:szCs w:val="24"/>
        </w:rPr>
        <w:t xml:space="preserve"> and Down respectively.</w:t>
      </w:r>
    </w:p>
    <w:p w:rsidR="00980E2D" w:rsidRPr="00132AF8" w:rsidRDefault="00980E2D" w:rsidP="00980E2D">
      <w:pPr>
        <w:autoSpaceDE w:val="0"/>
        <w:autoSpaceDN w:val="0"/>
        <w:adjustRightInd w:val="0"/>
        <w:spacing w:after="0" w:line="240" w:lineRule="auto"/>
        <w:rPr>
          <w:rFonts w:ascii="Tahoma" w:hAnsi="Tahoma" w:cs="Tahoma"/>
          <w:sz w:val="24"/>
          <w:szCs w:val="24"/>
        </w:rPr>
      </w:pPr>
    </w:p>
    <w:p w:rsidR="00CA7DAA" w:rsidRDefault="00CA7DAA" w:rsidP="0025030A">
      <w:pPr>
        <w:autoSpaceDE w:val="0"/>
        <w:autoSpaceDN w:val="0"/>
        <w:adjustRightInd w:val="0"/>
        <w:spacing w:after="0" w:line="240" w:lineRule="auto"/>
        <w:rPr>
          <w:rFonts w:ascii="Tahoma" w:hAnsi="Tahoma" w:cs="Tahoma"/>
          <w:b/>
          <w:bCs/>
          <w:sz w:val="24"/>
          <w:szCs w:val="24"/>
        </w:rPr>
      </w:pPr>
    </w:p>
    <w:p w:rsidR="0025030A" w:rsidRPr="00132AF8" w:rsidRDefault="0025030A" w:rsidP="0025030A">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lastRenderedPageBreak/>
        <w:t>Skills Profile</w:t>
      </w:r>
    </w:p>
    <w:p w:rsidR="001B7FD0" w:rsidRPr="00132AF8" w:rsidRDefault="001B7FD0" w:rsidP="0025030A">
      <w:pPr>
        <w:autoSpaceDE w:val="0"/>
        <w:autoSpaceDN w:val="0"/>
        <w:adjustRightInd w:val="0"/>
        <w:spacing w:after="0" w:line="240" w:lineRule="auto"/>
        <w:rPr>
          <w:rFonts w:ascii="Tahoma" w:hAnsi="Tahoma" w:cs="Tahoma"/>
          <w:b/>
          <w:bCs/>
          <w:sz w:val="24"/>
          <w:szCs w:val="24"/>
        </w:rPr>
      </w:pPr>
    </w:p>
    <w:p w:rsidR="0025030A" w:rsidRPr="00132AF8" w:rsidRDefault="000E4762"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3.28</w:t>
      </w:r>
      <w:r w:rsidR="0025030A" w:rsidRPr="00132AF8">
        <w:rPr>
          <w:rFonts w:ascii="Tahoma" w:hAnsi="Tahoma" w:cs="Tahoma"/>
          <w:b/>
          <w:bCs/>
          <w:sz w:val="24"/>
          <w:szCs w:val="24"/>
        </w:rPr>
        <w:t xml:space="preserve"> </w:t>
      </w:r>
      <w:r w:rsidR="00866BF0">
        <w:rPr>
          <w:rFonts w:ascii="Tahoma" w:hAnsi="Tahoma" w:cs="Tahoma"/>
          <w:b/>
          <w:bCs/>
          <w:sz w:val="24"/>
          <w:szCs w:val="24"/>
        </w:rPr>
        <w:tab/>
      </w:r>
      <w:r w:rsidR="0025030A" w:rsidRPr="00132AF8">
        <w:rPr>
          <w:rFonts w:ascii="Tahoma" w:hAnsi="Tahoma" w:cs="Tahoma"/>
          <w:sz w:val="24"/>
          <w:szCs w:val="24"/>
        </w:rPr>
        <w:t xml:space="preserve">As </w:t>
      </w:r>
      <w:r w:rsidR="009B7CFE" w:rsidRPr="00132AF8">
        <w:rPr>
          <w:rFonts w:ascii="Tahoma" w:hAnsi="Tahoma" w:cs="Tahoma"/>
          <w:sz w:val="24"/>
          <w:szCs w:val="24"/>
        </w:rPr>
        <w:t xml:space="preserve">stated </w:t>
      </w:r>
      <w:r w:rsidR="0025030A" w:rsidRPr="00132AF8">
        <w:rPr>
          <w:rFonts w:ascii="Tahoma" w:hAnsi="Tahoma" w:cs="Tahoma"/>
          <w:sz w:val="24"/>
          <w:szCs w:val="24"/>
        </w:rPr>
        <w:t>in paragraph 3.2, it is anticipated that future economic growth</w:t>
      </w:r>
      <w:r w:rsidR="00435847">
        <w:rPr>
          <w:rFonts w:ascii="Tahoma" w:hAnsi="Tahoma" w:cs="Tahoma"/>
          <w:sz w:val="24"/>
          <w:szCs w:val="24"/>
        </w:rPr>
        <w:t xml:space="preserve"> </w:t>
      </w:r>
      <w:r w:rsidR="0025030A" w:rsidRPr="00132AF8">
        <w:rPr>
          <w:rFonts w:ascii="Tahoma" w:hAnsi="Tahoma" w:cs="Tahoma"/>
          <w:sz w:val="24"/>
          <w:szCs w:val="24"/>
        </w:rPr>
        <w:t xml:space="preserve">will transition towards more exportable service sectors and if </w:t>
      </w:r>
      <w:r w:rsidR="007B2046" w:rsidRPr="00132AF8">
        <w:rPr>
          <w:rFonts w:ascii="Tahoma" w:hAnsi="Tahoma" w:cs="Tahoma"/>
          <w:sz w:val="24"/>
          <w:szCs w:val="24"/>
        </w:rPr>
        <w:t xml:space="preserve">Newry, </w:t>
      </w:r>
      <w:proofErr w:type="spellStart"/>
      <w:r w:rsidR="007B2046" w:rsidRPr="00132AF8">
        <w:rPr>
          <w:rFonts w:ascii="Tahoma" w:hAnsi="Tahoma" w:cs="Tahoma"/>
          <w:sz w:val="24"/>
          <w:szCs w:val="24"/>
        </w:rPr>
        <w:t>Mourne</w:t>
      </w:r>
      <w:proofErr w:type="spellEnd"/>
      <w:r w:rsidR="007B2046" w:rsidRPr="00132AF8">
        <w:rPr>
          <w:rFonts w:ascii="Tahoma" w:hAnsi="Tahoma" w:cs="Tahoma"/>
          <w:sz w:val="24"/>
          <w:szCs w:val="24"/>
        </w:rPr>
        <w:t xml:space="preserve"> and Down</w:t>
      </w:r>
      <w:r w:rsidR="0025030A" w:rsidRPr="00132AF8">
        <w:rPr>
          <w:rFonts w:ascii="Tahoma" w:hAnsi="Tahoma" w:cs="Tahoma"/>
          <w:sz w:val="24"/>
          <w:szCs w:val="24"/>
        </w:rPr>
        <w:t xml:space="preserve"> is to participate in this direction it will have to supply a suitably skilled and qualified workforce. Education has an important role to play in promoting economic well-being. Better education</w:t>
      </w:r>
      <w:r w:rsidR="00901A54" w:rsidRPr="00132AF8">
        <w:rPr>
          <w:rFonts w:ascii="Tahoma" w:hAnsi="Tahoma" w:cs="Tahoma"/>
          <w:sz w:val="24"/>
          <w:szCs w:val="24"/>
        </w:rPr>
        <w:t xml:space="preserve"> and training targeting future employment growth areas </w:t>
      </w:r>
      <w:r w:rsidR="0025030A" w:rsidRPr="00132AF8">
        <w:rPr>
          <w:rFonts w:ascii="Tahoma" w:hAnsi="Tahoma" w:cs="Tahoma"/>
          <w:sz w:val="24"/>
          <w:szCs w:val="24"/>
        </w:rPr>
        <w:t>improves access to employment opportunities, raises productivity and innovation. In addition it plays a very crucial role in securing economic and social progress and improving income distribution.</w:t>
      </w:r>
    </w:p>
    <w:p w:rsidR="0025030A" w:rsidRPr="00132AF8" w:rsidRDefault="0025030A" w:rsidP="008E411D">
      <w:pPr>
        <w:autoSpaceDE w:val="0"/>
        <w:autoSpaceDN w:val="0"/>
        <w:adjustRightInd w:val="0"/>
        <w:spacing w:after="0" w:line="240" w:lineRule="auto"/>
        <w:jc w:val="both"/>
        <w:rPr>
          <w:rFonts w:ascii="Tahoma" w:hAnsi="Tahoma" w:cs="Tahoma"/>
          <w:b/>
          <w:bCs/>
          <w:sz w:val="24"/>
          <w:szCs w:val="24"/>
        </w:rPr>
      </w:pPr>
    </w:p>
    <w:p w:rsidR="0025030A" w:rsidRPr="00132AF8" w:rsidRDefault="000E4762" w:rsidP="008E411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3.29</w:t>
      </w:r>
      <w:r w:rsidR="0025030A" w:rsidRPr="00132AF8">
        <w:rPr>
          <w:rFonts w:ascii="Tahoma" w:hAnsi="Tahoma" w:cs="Tahoma"/>
          <w:b/>
          <w:bCs/>
          <w:sz w:val="24"/>
          <w:szCs w:val="24"/>
        </w:rPr>
        <w:t xml:space="preserve"> </w:t>
      </w:r>
      <w:r w:rsidR="00866BF0">
        <w:rPr>
          <w:rFonts w:ascii="Tahoma" w:hAnsi="Tahoma" w:cs="Tahoma"/>
          <w:b/>
          <w:bCs/>
          <w:sz w:val="24"/>
          <w:szCs w:val="24"/>
        </w:rPr>
        <w:tab/>
      </w:r>
      <w:r w:rsidR="0025030A" w:rsidRPr="00132AF8">
        <w:rPr>
          <w:rFonts w:ascii="Tahoma" w:hAnsi="Tahoma" w:cs="Tahoma"/>
          <w:sz w:val="24"/>
          <w:szCs w:val="24"/>
        </w:rPr>
        <w:t>Oxford Economics have forecast that the stock of jobs requiring low or no</w:t>
      </w:r>
      <w:r w:rsidR="00435847">
        <w:rPr>
          <w:rFonts w:ascii="Tahoma" w:hAnsi="Tahoma" w:cs="Tahoma"/>
          <w:sz w:val="24"/>
          <w:szCs w:val="24"/>
        </w:rPr>
        <w:t xml:space="preserve"> </w:t>
      </w:r>
      <w:r w:rsidR="0025030A" w:rsidRPr="00132AF8">
        <w:rPr>
          <w:rFonts w:ascii="Tahoma" w:hAnsi="Tahoma" w:cs="Tahoma"/>
          <w:sz w:val="24"/>
          <w:szCs w:val="24"/>
        </w:rPr>
        <w:t>qualifications is to fall by 60,000 by 2020, leading to a large skills mismatch</w:t>
      </w:r>
      <w:r w:rsidR="00616107" w:rsidRPr="00132AF8">
        <w:rPr>
          <w:rStyle w:val="FootnoteReference"/>
          <w:rFonts w:ascii="Tahoma" w:hAnsi="Tahoma" w:cs="Tahoma"/>
          <w:sz w:val="24"/>
          <w:szCs w:val="24"/>
        </w:rPr>
        <w:footnoteReference w:id="20"/>
      </w:r>
      <w:r w:rsidR="0025030A" w:rsidRPr="00132AF8">
        <w:rPr>
          <w:rFonts w:ascii="Tahoma" w:hAnsi="Tahoma" w:cs="Tahoma"/>
          <w:sz w:val="24"/>
          <w:szCs w:val="24"/>
        </w:rPr>
        <w:t>.</w:t>
      </w:r>
      <w:r w:rsidR="00435847">
        <w:rPr>
          <w:rFonts w:ascii="Tahoma" w:hAnsi="Tahoma" w:cs="Tahoma"/>
          <w:sz w:val="24"/>
          <w:szCs w:val="24"/>
        </w:rPr>
        <w:t xml:space="preserve"> </w:t>
      </w:r>
      <w:r w:rsidR="0025030A" w:rsidRPr="00132AF8">
        <w:rPr>
          <w:rFonts w:ascii="Tahoma" w:hAnsi="Tahoma" w:cs="Tahoma"/>
          <w:sz w:val="24"/>
          <w:szCs w:val="24"/>
        </w:rPr>
        <w:t>In this context of continuing change in demand from factory to office based</w:t>
      </w:r>
      <w:r w:rsidR="00435847">
        <w:rPr>
          <w:rFonts w:ascii="Tahoma" w:hAnsi="Tahoma" w:cs="Tahoma"/>
          <w:sz w:val="24"/>
          <w:szCs w:val="24"/>
        </w:rPr>
        <w:t xml:space="preserve"> </w:t>
      </w:r>
      <w:r w:rsidR="0025030A" w:rsidRPr="00132AF8">
        <w:rPr>
          <w:rFonts w:ascii="Tahoma" w:hAnsi="Tahoma" w:cs="Tahoma"/>
          <w:sz w:val="24"/>
          <w:szCs w:val="24"/>
        </w:rPr>
        <w:t>service sector there will be a need for large numbers of individuals to change</w:t>
      </w:r>
      <w:r w:rsidR="00435847">
        <w:rPr>
          <w:rFonts w:ascii="Tahoma" w:hAnsi="Tahoma" w:cs="Tahoma"/>
          <w:sz w:val="24"/>
          <w:szCs w:val="24"/>
        </w:rPr>
        <w:t xml:space="preserve"> </w:t>
      </w:r>
      <w:r w:rsidR="0025030A" w:rsidRPr="00132AF8">
        <w:rPr>
          <w:rFonts w:ascii="Tahoma" w:hAnsi="Tahoma" w:cs="Tahoma"/>
          <w:sz w:val="24"/>
          <w:szCs w:val="24"/>
        </w:rPr>
        <w:t>careers. As their existing skill sets, competencies and experience will fall short of the demand for a skilled workforce, significant up-skilling and reskilling will be required.</w:t>
      </w:r>
      <w:r w:rsidR="00901A54" w:rsidRPr="00132AF8">
        <w:rPr>
          <w:rFonts w:ascii="Tahoma" w:hAnsi="Tahoma" w:cs="Tahoma"/>
          <w:sz w:val="24"/>
          <w:szCs w:val="24"/>
        </w:rPr>
        <w:t xml:space="preserve"> This is an important area where the Council and relevant statutory bodies can work with local providers of education and training to address shortfalls and develop tailored learning.</w:t>
      </w:r>
    </w:p>
    <w:p w:rsidR="0025030A" w:rsidRPr="00132AF8" w:rsidRDefault="0025030A" w:rsidP="008E411D">
      <w:pPr>
        <w:autoSpaceDE w:val="0"/>
        <w:autoSpaceDN w:val="0"/>
        <w:adjustRightInd w:val="0"/>
        <w:spacing w:after="0" w:line="240" w:lineRule="auto"/>
        <w:jc w:val="both"/>
        <w:rPr>
          <w:rFonts w:ascii="Tahoma" w:hAnsi="Tahoma" w:cs="Tahoma"/>
          <w:b/>
          <w:bCs/>
          <w:sz w:val="24"/>
          <w:szCs w:val="24"/>
        </w:rPr>
      </w:pPr>
    </w:p>
    <w:p w:rsidR="0025030A" w:rsidRDefault="000E4762" w:rsidP="008E411D">
      <w:pPr>
        <w:autoSpaceDE w:val="0"/>
        <w:autoSpaceDN w:val="0"/>
        <w:adjustRightInd w:val="0"/>
        <w:spacing w:after="0" w:line="240" w:lineRule="auto"/>
        <w:jc w:val="both"/>
        <w:rPr>
          <w:rFonts w:ascii="Arial" w:hAnsi="Arial" w:cs="Arial"/>
          <w:sz w:val="24"/>
          <w:szCs w:val="24"/>
        </w:rPr>
      </w:pPr>
      <w:r w:rsidRPr="00132AF8">
        <w:rPr>
          <w:rFonts w:ascii="Tahoma" w:hAnsi="Tahoma" w:cs="Tahoma"/>
          <w:b/>
          <w:bCs/>
          <w:sz w:val="24"/>
          <w:szCs w:val="24"/>
        </w:rPr>
        <w:t>3.30</w:t>
      </w:r>
      <w:r w:rsidR="0025030A" w:rsidRPr="00132AF8">
        <w:rPr>
          <w:rFonts w:ascii="Tahoma" w:hAnsi="Tahoma" w:cs="Tahoma"/>
          <w:b/>
          <w:bCs/>
          <w:sz w:val="24"/>
          <w:szCs w:val="24"/>
        </w:rPr>
        <w:t xml:space="preserve"> </w:t>
      </w:r>
      <w:r w:rsidR="00866BF0">
        <w:rPr>
          <w:rFonts w:ascii="Tahoma" w:hAnsi="Tahoma" w:cs="Tahoma"/>
          <w:b/>
          <w:bCs/>
          <w:sz w:val="24"/>
          <w:szCs w:val="24"/>
        </w:rPr>
        <w:tab/>
      </w:r>
      <w:r w:rsidR="001F7BD6" w:rsidRPr="00132AF8">
        <w:rPr>
          <w:rFonts w:ascii="Tahoma" w:hAnsi="Tahoma" w:cs="Tahoma"/>
          <w:bCs/>
          <w:sz w:val="24"/>
          <w:szCs w:val="24"/>
        </w:rPr>
        <w:t>Census figures in</w:t>
      </w:r>
      <w:r w:rsidR="001F7BD6" w:rsidRPr="00132AF8">
        <w:rPr>
          <w:rFonts w:ascii="Tahoma" w:hAnsi="Tahoma" w:cs="Tahoma"/>
          <w:b/>
          <w:bCs/>
          <w:sz w:val="24"/>
          <w:szCs w:val="24"/>
        </w:rPr>
        <w:t xml:space="preserve"> </w:t>
      </w:r>
      <w:r w:rsidR="00EC669D" w:rsidRPr="00132AF8">
        <w:rPr>
          <w:rFonts w:ascii="Tahoma" w:hAnsi="Tahoma" w:cs="Tahoma"/>
          <w:sz w:val="24"/>
          <w:szCs w:val="24"/>
        </w:rPr>
        <w:t>2011</w:t>
      </w:r>
      <w:r w:rsidR="004C3777">
        <w:rPr>
          <w:rFonts w:ascii="Tahoma" w:hAnsi="Tahoma" w:cs="Tahoma"/>
          <w:sz w:val="24"/>
          <w:szCs w:val="24"/>
        </w:rPr>
        <w:t xml:space="preserve"> </w:t>
      </w:r>
      <w:r w:rsidR="00342339">
        <w:rPr>
          <w:rFonts w:ascii="Tahoma" w:hAnsi="Tahoma" w:cs="Tahoma"/>
          <w:sz w:val="24"/>
          <w:szCs w:val="24"/>
        </w:rPr>
        <w:t xml:space="preserve"> </w:t>
      </w:r>
      <w:r w:rsidR="00EC669D" w:rsidRPr="00132AF8">
        <w:rPr>
          <w:rFonts w:ascii="Tahoma" w:hAnsi="Tahoma" w:cs="Tahoma"/>
          <w:sz w:val="24"/>
          <w:szCs w:val="24"/>
        </w:rPr>
        <w:t>show</w:t>
      </w:r>
      <w:r w:rsidR="001F7BD6" w:rsidRPr="00132AF8">
        <w:rPr>
          <w:rFonts w:ascii="Tahoma" w:hAnsi="Tahoma" w:cs="Tahoma"/>
          <w:sz w:val="24"/>
          <w:szCs w:val="24"/>
        </w:rPr>
        <w:t xml:space="preserve"> that </w:t>
      </w:r>
      <w:r w:rsidR="0025030A" w:rsidRPr="00132AF8">
        <w:rPr>
          <w:rFonts w:ascii="Tahoma" w:hAnsi="Tahoma" w:cs="Tahoma"/>
          <w:sz w:val="24"/>
          <w:szCs w:val="24"/>
        </w:rPr>
        <w:t xml:space="preserve"> the proportion of people </w:t>
      </w:r>
      <w:r w:rsidR="001B7FD0" w:rsidRPr="00132AF8">
        <w:rPr>
          <w:rFonts w:ascii="Tahoma" w:hAnsi="Tahoma" w:cs="Tahoma"/>
          <w:sz w:val="24"/>
          <w:szCs w:val="24"/>
        </w:rPr>
        <w:t xml:space="preserve">in Northern Ireland </w:t>
      </w:r>
      <w:r w:rsidR="0025030A" w:rsidRPr="00132AF8">
        <w:rPr>
          <w:rFonts w:ascii="Tahoma" w:hAnsi="Tahoma" w:cs="Tahoma"/>
          <w:sz w:val="24"/>
          <w:szCs w:val="24"/>
        </w:rPr>
        <w:t xml:space="preserve">aged </w:t>
      </w:r>
      <w:r w:rsidR="00701388" w:rsidRPr="00132AF8">
        <w:rPr>
          <w:rFonts w:ascii="Tahoma" w:hAnsi="Tahoma" w:cs="Tahoma"/>
          <w:sz w:val="24"/>
          <w:szCs w:val="24"/>
        </w:rPr>
        <w:t>16 years old and over who had</w:t>
      </w:r>
      <w:r w:rsidR="001B7FD0" w:rsidRPr="00132AF8">
        <w:rPr>
          <w:rFonts w:ascii="Tahoma" w:hAnsi="Tahoma" w:cs="Tahoma"/>
          <w:sz w:val="24"/>
          <w:szCs w:val="24"/>
        </w:rPr>
        <w:t xml:space="preserve"> a</w:t>
      </w:r>
      <w:r w:rsidR="00923DE6" w:rsidRPr="00132AF8">
        <w:rPr>
          <w:rFonts w:ascii="Tahoma" w:hAnsi="Tahoma" w:cs="Tahoma"/>
          <w:sz w:val="24"/>
          <w:szCs w:val="24"/>
        </w:rPr>
        <w:t xml:space="preserve"> </w:t>
      </w:r>
      <w:r w:rsidR="0025030A" w:rsidRPr="00132AF8">
        <w:rPr>
          <w:rFonts w:ascii="Tahoma" w:hAnsi="Tahoma" w:cs="Tahoma"/>
          <w:sz w:val="24"/>
          <w:szCs w:val="24"/>
        </w:rPr>
        <w:t>degree or higher qualificat</w:t>
      </w:r>
      <w:r w:rsidR="00701388" w:rsidRPr="00132AF8">
        <w:rPr>
          <w:rFonts w:ascii="Tahoma" w:hAnsi="Tahoma" w:cs="Tahoma"/>
          <w:sz w:val="24"/>
          <w:szCs w:val="24"/>
        </w:rPr>
        <w:t>ion had</w:t>
      </w:r>
      <w:r w:rsidR="001B7FD0" w:rsidRPr="00132AF8">
        <w:rPr>
          <w:rFonts w:ascii="Tahoma" w:hAnsi="Tahoma" w:cs="Tahoma"/>
          <w:sz w:val="24"/>
          <w:szCs w:val="24"/>
        </w:rPr>
        <w:t xml:space="preserve"> increased </w:t>
      </w:r>
      <w:r w:rsidR="00701388" w:rsidRPr="00132AF8">
        <w:rPr>
          <w:rFonts w:ascii="Tahoma" w:hAnsi="Tahoma" w:cs="Tahoma"/>
          <w:sz w:val="24"/>
          <w:szCs w:val="24"/>
        </w:rPr>
        <w:t xml:space="preserve">from 2001 </w:t>
      </w:r>
      <w:r w:rsidR="00EC669D" w:rsidRPr="00132AF8">
        <w:rPr>
          <w:rFonts w:ascii="Tahoma" w:hAnsi="Tahoma" w:cs="Tahoma"/>
          <w:sz w:val="24"/>
          <w:szCs w:val="24"/>
        </w:rPr>
        <w:t xml:space="preserve">and there was a corresponding </w:t>
      </w:r>
      <w:r w:rsidR="001B7FD0" w:rsidRPr="00132AF8">
        <w:rPr>
          <w:rFonts w:ascii="Tahoma" w:hAnsi="Tahoma" w:cs="Tahoma"/>
          <w:sz w:val="24"/>
          <w:szCs w:val="24"/>
        </w:rPr>
        <w:t>reduction in the proportion with no or low qualifications</w:t>
      </w:r>
      <w:r w:rsidR="00701388" w:rsidRPr="00132AF8">
        <w:rPr>
          <w:rFonts w:ascii="Tahoma" w:hAnsi="Tahoma" w:cs="Tahoma"/>
          <w:sz w:val="24"/>
          <w:szCs w:val="24"/>
        </w:rPr>
        <w:t xml:space="preserve"> over the same period</w:t>
      </w:r>
      <w:r w:rsidR="001B7FD0" w:rsidRPr="00132AF8">
        <w:rPr>
          <w:rFonts w:ascii="Tahoma" w:hAnsi="Tahoma" w:cs="Tahoma"/>
          <w:sz w:val="24"/>
          <w:szCs w:val="24"/>
        </w:rPr>
        <w:t xml:space="preserve">.  </w:t>
      </w:r>
      <w:proofErr w:type="gramStart"/>
      <w:r w:rsidR="00EC669D" w:rsidRPr="00132AF8">
        <w:rPr>
          <w:rFonts w:ascii="Tahoma" w:hAnsi="Tahoma" w:cs="Tahoma"/>
          <w:sz w:val="24"/>
          <w:szCs w:val="24"/>
        </w:rPr>
        <w:t xml:space="preserve">Figures for Newry, </w:t>
      </w:r>
      <w:proofErr w:type="spellStart"/>
      <w:r w:rsidR="00EC669D" w:rsidRPr="00132AF8">
        <w:rPr>
          <w:rFonts w:ascii="Tahoma" w:hAnsi="Tahoma" w:cs="Tahoma"/>
          <w:sz w:val="24"/>
          <w:szCs w:val="24"/>
        </w:rPr>
        <w:t>Mourne</w:t>
      </w:r>
      <w:proofErr w:type="spellEnd"/>
      <w:r w:rsidR="00EC669D" w:rsidRPr="00132AF8">
        <w:rPr>
          <w:rFonts w:ascii="Tahoma" w:hAnsi="Tahoma" w:cs="Tahoma"/>
          <w:sz w:val="24"/>
          <w:szCs w:val="24"/>
        </w:rPr>
        <w:t xml:space="preserve"> and Down show advances in educational achievement over the </w:t>
      </w:r>
      <w:r w:rsidR="00995E08" w:rsidRPr="00132AF8">
        <w:rPr>
          <w:rFonts w:ascii="Tahoma" w:hAnsi="Tahoma" w:cs="Tahoma"/>
          <w:sz w:val="24"/>
          <w:szCs w:val="24"/>
        </w:rPr>
        <w:t xml:space="preserve">same </w:t>
      </w:r>
      <w:r w:rsidR="00EC669D" w:rsidRPr="00132AF8">
        <w:rPr>
          <w:rFonts w:ascii="Tahoma" w:hAnsi="Tahoma" w:cs="Tahoma"/>
          <w:sz w:val="24"/>
          <w:szCs w:val="24"/>
        </w:rPr>
        <w:t xml:space="preserve">period with both categories reflecting </w:t>
      </w:r>
      <w:r w:rsidR="00995E08" w:rsidRPr="00132AF8">
        <w:rPr>
          <w:rFonts w:ascii="Tahoma" w:hAnsi="Tahoma" w:cs="Tahoma"/>
          <w:sz w:val="24"/>
          <w:szCs w:val="24"/>
        </w:rPr>
        <w:t xml:space="preserve">or improving on </w:t>
      </w:r>
      <w:r w:rsidR="00EC669D" w:rsidRPr="00132AF8">
        <w:rPr>
          <w:rFonts w:ascii="Tahoma" w:hAnsi="Tahoma" w:cs="Tahoma"/>
          <w:sz w:val="24"/>
          <w:szCs w:val="24"/>
        </w:rPr>
        <w:t>the NI average by 2011</w:t>
      </w:r>
      <w:r w:rsidR="00AD3F43" w:rsidRPr="00132AF8">
        <w:rPr>
          <w:rFonts w:ascii="Tahoma" w:hAnsi="Tahoma" w:cs="Tahoma"/>
          <w:sz w:val="24"/>
          <w:szCs w:val="24"/>
        </w:rPr>
        <w:t>(Table 6</w:t>
      </w:r>
      <w:r w:rsidR="0025030A" w:rsidRPr="00132AF8">
        <w:rPr>
          <w:rFonts w:ascii="Tahoma" w:hAnsi="Tahoma" w:cs="Tahoma"/>
          <w:sz w:val="24"/>
          <w:szCs w:val="24"/>
        </w:rPr>
        <w:t>).</w:t>
      </w:r>
      <w:proofErr w:type="gramEnd"/>
      <w:r w:rsidR="0025030A">
        <w:rPr>
          <w:rFonts w:ascii="Arial" w:hAnsi="Arial" w:cs="Arial"/>
          <w:sz w:val="24"/>
          <w:szCs w:val="24"/>
        </w:rPr>
        <w:t xml:space="preserve"> </w:t>
      </w:r>
    </w:p>
    <w:p w:rsidR="005E77C5" w:rsidRDefault="005E77C5" w:rsidP="0025030A">
      <w:pPr>
        <w:autoSpaceDE w:val="0"/>
        <w:autoSpaceDN w:val="0"/>
        <w:adjustRightInd w:val="0"/>
        <w:spacing w:after="0" w:line="240" w:lineRule="auto"/>
        <w:rPr>
          <w:rFonts w:ascii="Arial" w:hAnsi="Arial" w:cs="Arial"/>
          <w:noProof/>
          <w:sz w:val="24"/>
          <w:szCs w:val="24"/>
          <w:lang w:eastAsia="en-GB"/>
        </w:rPr>
      </w:pPr>
    </w:p>
    <w:p w:rsidR="00C2224C" w:rsidRPr="00132AF8" w:rsidRDefault="00272208" w:rsidP="0025030A">
      <w:pPr>
        <w:autoSpaceDE w:val="0"/>
        <w:autoSpaceDN w:val="0"/>
        <w:adjustRightInd w:val="0"/>
        <w:spacing w:after="0" w:line="240" w:lineRule="auto"/>
        <w:rPr>
          <w:rFonts w:ascii="Tahoma" w:hAnsi="Tahoma" w:cs="Tahoma"/>
          <w:b/>
          <w:noProof/>
          <w:sz w:val="24"/>
          <w:szCs w:val="24"/>
          <w:lang w:eastAsia="en-GB"/>
        </w:rPr>
      </w:pPr>
      <w:r w:rsidRPr="00132AF8">
        <w:rPr>
          <w:rFonts w:ascii="Tahoma" w:hAnsi="Tahoma" w:cs="Tahoma"/>
          <w:b/>
          <w:noProof/>
          <w:sz w:val="24"/>
          <w:szCs w:val="24"/>
          <w:lang w:eastAsia="en-GB"/>
        </w:rPr>
        <w:t>Table 6</w:t>
      </w:r>
      <w:r w:rsidR="00EA79CA" w:rsidRPr="00132AF8">
        <w:rPr>
          <w:rFonts w:ascii="Tahoma" w:hAnsi="Tahoma" w:cs="Tahoma"/>
          <w:b/>
          <w:noProof/>
          <w:sz w:val="24"/>
          <w:szCs w:val="24"/>
          <w:lang w:eastAsia="en-GB"/>
        </w:rPr>
        <w:t>: Qualifications of NMD Population over 16 years of age (2001-11)</w:t>
      </w:r>
    </w:p>
    <w:p w:rsidR="005E77C5" w:rsidRDefault="005E77C5" w:rsidP="0025030A">
      <w:pPr>
        <w:autoSpaceDE w:val="0"/>
        <w:autoSpaceDN w:val="0"/>
        <w:adjustRightInd w:val="0"/>
        <w:spacing w:after="0" w:line="240" w:lineRule="auto"/>
        <w:rPr>
          <w:rFonts w:ascii="Arial" w:hAnsi="Arial" w:cs="Arial"/>
          <w:b/>
          <w:noProof/>
          <w:sz w:val="24"/>
          <w:szCs w:val="24"/>
          <w:lang w:eastAsia="en-GB"/>
        </w:rPr>
      </w:pPr>
    </w:p>
    <w:tbl>
      <w:tblPr>
        <w:tblW w:w="9087" w:type="dxa"/>
        <w:tblInd w:w="93" w:type="dxa"/>
        <w:tblLook w:val="04A0" w:firstRow="1" w:lastRow="0" w:firstColumn="1" w:lastColumn="0" w:noHBand="0" w:noVBand="1"/>
      </w:tblPr>
      <w:tblGrid>
        <w:gridCol w:w="2960"/>
        <w:gridCol w:w="741"/>
        <w:gridCol w:w="2268"/>
        <w:gridCol w:w="1134"/>
        <w:gridCol w:w="1134"/>
        <w:gridCol w:w="850"/>
      </w:tblGrid>
      <w:tr w:rsidR="00C8012A" w:rsidRPr="00EA79CA" w:rsidTr="00A967D2">
        <w:trPr>
          <w:trHeight w:val="300"/>
        </w:trPr>
        <w:tc>
          <w:tcPr>
            <w:tcW w:w="2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 </w:t>
            </w:r>
          </w:p>
        </w:tc>
        <w:tc>
          <w:tcPr>
            <w:tcW w:w="741" w:type="dxa"/>
            <w:tcBorders>
              <w:top w:val="single" w:sz="4" w:space="0" w:color="auto"/>
              <w:left w:val="nil"/>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Year</w:t>
            </w:r>
          </w:p>
        </w:tc>
        <w:tc>
          <w:tcPr>
            <w:tcW w:w="2268" w:type="dxa"/>
            <w:tcBorders>
              <w:top w:val="single" w:sz="4" w:space="0" w:color="auto"/>
              <w:left w:val="nil"/>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 xml:space="preserve">Newry &amp; </w:t>
            </w:r>
            <w:proofErr w:type="spellStart"/>
            <w:r w:rsidRPr="00EA79CA">
              <w:rPr>
                <w:rFonts w:ascii="Calibri" w:eastAsia="Times New Roman" w:hAnsi="Calibri" w:cs="Times New Roman"/>
                <w:b/>
                <w:color w:val="000000"/>
                <w:lang w:eastAsia="en-GB"/>
              </w:rPr>
              <w:t>Mourne</w:t>
            </w:r>
            <w:proofErr w:type="spellEnd"/>
            <w:r>
              <w:rPr>
                <w:rFonts w:ascii="Calibri" w:eastAsia="Times New Roman" w:hAnsi="Calibri" w:cs="Times New Roman"/>
                <w:b/>
                <w:color w:val="000000"/>
                <w:lang w:eastAsia="en-GB"/>
              </w:rPr>
              <w:t xml:space="preserve"> (%)</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Down</w:t>
            </w:r>
            <w:r>
              <w:rPr>
                <w:rFonts w:ascii="Calibri" w:eastAsia="Times New Roman" w:hAnsi="Calibri" w:cs="Times New Roman"/>
                <w:b/>
                <w:color w:val="000000"/>
                <w:lang w:eastAsia="en-GB"/>
              </w:rPr>
              <w:t xml:space="preserve"> (%)</w:t>
            </w:r>
          </w:p>
        </w:tc>
        <w:tc>
          <w:tcPr>
            <w:tcW w:w="1134" w:type="dxa"/>
            <w:tcBorders>
              <w:top w:val="single" w:sz="4" w:space="0" w:color="auto"/>
              <w:left w:val="nil"/>
              <w:bottom w:val="single" w:sz="4" w:space="0" w:color="auto"/>
              <w:right w:val="single" w:sz="4" w:space="0" w:color="auto"/>
            </w:tcBorders>
            <w:shd w:val="clear" w:color="000000" w:fill="BFBFBF"/>
          </w:tcPr>
          <w:p w:rsidR="00C8012A" w:rsidRPr="00EA79CA" w:rsidRDefault="00C8012A" w:rsidP="00EA79C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NMD (%)</w:t>
            </w:r>
          </w:p>
        </w:tc>
        <w:tc>
          <w:tcPr>
            <w:tcW w:w="85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NI</w:t>
            </w:r>
            <w:r>
              <w:rPr>
                <w:rFonts w:ascii="Calibri" w:eastAsia="Times New Roman" w:hAnsi="Calibri" w:cs="Times New Roman"/>
                <w:b/>
                <w:color w:val="000000"/>
                <w:lang w:eastAsia="en-GB"/>
              </w:rPr>
              <w:t xml:space="preserve"> (%)</w:t>
            </w:r>
          </w:p>
        </w:tc>
      </w:tr>
      <w:tr w:rsidR="00C8012A" w:rsidRPr="00EA79CA" w:rsidTr="00A967D2">
        <w:trPr>
          <w:trHeight w:val="300"/>
        </w:trPr>
        <w:tc>
          <w:tcPr>
            <w:tcW w:w="2960" w:type="dxa"/>
            <w:tcBorders>
              <w:top w:val="nil"/>
              <w:left w:val="single" w:sz="4" w:space="0" w:color="auto"/>
              <w:bottom w:val="nil"/>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No or low qualifications</w:t>
            </w:r>
            <w:r w:rsidRPr="003D0518">
              <w:rPr>
                <w:rFonts w:ascii="Calibri" w:eastAsia="Times New Roman" w:hAnsi="Calibri" w:cs="Times New Roman"/>
                <w:b/>
                <w:color w:val="000000"/>
                <w:lang w:eastAsia="en-GB"/>
              </w:rPr>
              <w:t>*</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2001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61.27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56.33</w:t>
            </w:r>
          </w:p>
        </w:tc>
        <w:tc>
          <w:tcPr>
            <w:tcW w:w="1134" w:type="dxa"/>
            <w:tcBorders>
              <w:top w:val="single" w:sz="4" w:space="0" w:color="auto"/>
              <w:left w:val="nil"/>
              <w:bottom w:val="single" w:sz="4" w:space="0" w:color="auto"/>
              <w:right w:val="single" w:sz="4" w:space="0" w:color="auto"/>
            </w:tcBorders>
            <w:vAlign w:val="bottom"/>
          </w:tcPr>
          <w:p w:rsidR="00C8012A" w:rsidRPr="00EA79CA" w:rsidRDefault="00A967D2" w:rsidP="001F061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58.80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58.87</w:t>
            </w:r>
          </w:p>
        </w:tc>
      </w:tr>
      <w:tr w:rsidR="00C8012A" w:rsidRPr="00EA79CA" w:rsidTr="00A967D2">
        <w:trPr>
          <w:trHeight w:val="300"/>
        </w:trPr>
        <w:tc>
          <w:tcPr>
            <w:tcW w:w="2960" w:type="dxa"/>
            <w:tcBorders>
              <w:top w:val="nil"/>
              <w:left w:val="single" w:sz="4" w:space="0" w:color="auto"/>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 </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2011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40.98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37.04</w:t>
            </w:r>
          </w:p>
        </w:tc>
        <w:tc>
          <w:tcPr>
            <w:tcW w:w="1134" w:type="dxa"/>
            <w:tcBorders>
              <w:top w:val="single" w:sz="4" w:space="0" w:color="auto"/>
              <w:left w:val="nil"/>
              <w:bottom w:val="single" w:sz="4" w:space="0" w:color="auto"/>
              <w:right w:val="single" w:sz="4" w:space="0" w:color="auto"/>
            </w:tcBorders>
            <w:vAlign w:val="bottom"/>
          </w:tcPr>
          <w:p w:rsidR="00C8012A" w:rsidRPr="00EA79CA" w:rsidRDefault="00A967D2" w:rsidP="001F061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39.01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40.63</w:t>
            </w:r>
          </w:p>
        </w:tc>
      </w:tr>
      <w:tr w:rsidR="00C8012A" w:rsidRPr="00EA79CA" w:rsidTr="00A967D2">
        <w:trPr>
          <w:trHeight w:val="300"/>
        </w:trPr>
        <w:tc>
          <w:tcPr>
            <w:tcW w:w="2960" w:type="dxa"/>
            <w:tcBorders>
              <w:top w:val="nil"/>
              <w:left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Degree or higher qualification</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2001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13.67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16.02</w:t>
            </w:r>
          </w:p>
        </w:tc>
        <w:tc>
          <w:tcPr>
            <w:tcW w:w="1134" w:type="dxa"/>
            <w:tcBorders>
              <w:top w:val="single" w:sz="4" w:space="0" w:color="auto"/>
              <w:left w:val="nil"/>
              <w:bottom w:val="single" w:sz="4" w:space="0" w:color="auto"/>
              <w:right w:val="single" w:sz="4" w:space="0" w:color="auto"/>
            </w:tcBorders>
          </w:tcPr>
          <w:p w:rsidR="00C8012A" w:rsidRPr="00EA79CA" w:rsidRDefault="003A109F" w:rsidP="001F061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14.85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15.8</w:t>
            </w:r>
          </w:p>
        </w:tc>
      </w:tr>
      <w:tr w:rsidR="00C8012A" w:rsidRPr="00EA79CA" w:rsidTr="00F80D59">
        <w:trPr>
          <w:trHeight w:val="300"/>
        </w:trPr>
        <w:tc>
          <w:tcPr>
            <w:tcW w:w="2960" w:type="dxa"/>
            <w:tcBorders>
              <w:top w:val="nil"/>
              <w:left w:val="single" w:sz="4" w:space="0" w:color="auto"/>
              <w:bottom w:val="single" w:sz="4" w:space="0" w:color="auto"/>
              <w:right w:val="single" w:sz="4" w:space="0" w:color="auto"/>
            </w:tcBorders>
            <w:shd w:val="clear" w:color="000000" w:fill="BFBFBF"/>
            <w:noWrap/>
            <w:vAlign w:val="bottom"/>
            <w:hideMark/>
          </w:tcPr>
          <w:p w:rsidR="00C8012A" w:rsidRPr="00EA79CA" w:rsidRDefault="00C8012A" w:rsidP="00EA79CA">
            <w:pPr>
              <w:spacing w:after="0" w:line="240" w:lineRule="auto"/>
              <w:rPr>
                <w:rFonts w:ascii="Calibri" w:eastAsia="Times New Roman" w:hAnsi="Calibri" w:cs="Times New Roman"/>
                <w:b/>
                <w:color w:val="000000"/>
                <w:lang w:eastAsia="en-GB"/>
              </w:rPr>
            </w:pPr>
            <w:r w:rsidRPr="00EA79CA">
              <w:rPr>
                <w:rFonts w:ascii="Calibri" w:eastAsia="Times New Roman" w:hAnsi="Calibri" w:cs="Times New Roman"/>
                <w:b/>
                <w:color w:val="000000"/>
                <w:lang w:eastAsia="en-GB"/>
              </w:rPr>
              <w:t> </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2011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25.11</w:t>
            </w:r>
          </w:p>
        </w:tc>
        <w:tc>
          <w:tcPr>
            <w:tcW w:w="1134" w:type="dxa"/>
            <w:tcBorders>
              <w:top w:val="single" w:sz="4" w:space="0" w:color="auto"/>
              <w:left w:val="nil"/>
              <w:bottom w:val="single" w:sz="4" w:space="0" w:color="auto"/>
              <w:right w:val="single" w:sz="4" w:space="0" w:color="auto"/>
            </w:tcBorders>
            <w:vAlign w:val="bottom"/>
          </w:tcPr>
          <w:p w:rsidR="00C8012A" w:rsidRPr="00EA79CA" w:rsidRDefault="00F80D59" w:rsidP="00F80D5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23.40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012A" w:rsidRPr="00EA79CA" w:rsidRDefault="00C8012A" w:rsidP="001F061D">
            <w:pPr>
              <w:spacing w:after="0" w:line="240" w:lineRule="auto"/>
              <w:jc w:val="right"/>
              <w:rPr>
                <w:rFonts w:ascii="Calibri" w:eastAsia="Times New Roman" w:hAnsi="Calibri" w:cs="Times New Roman"/>
                <w:color w:val="000000"/>
                <w:lang w:eastAsia="en-GB"/>
              </w:rPr>
            </w:pPr>
            <w:r w:rsidRPr="00EA79CA">
              <w:rPr>
                <w:rFonts w:ascii="Calibri" w:eastAsia="Times New Roman" w:hAnsi="Calibri" w:cs="Times New Roman"/>
                <w:color w:val="000000"/>
                <w:lang w:eastAsia="en-GB"/>
              </w:rPr>
              <w:t>23.65</w:t>
            </w:r>
          </w:p>
        </w:tc>
      </w:tr>
    </w:tbl>
    <w:p w:rsidR="00C8012A" w:rsidRDefault="00C8012A" w:rsidP="00AD68AC">
      <w:pPr>
        <w:autoSpaceDE w:val="0"/>
        <w:autoSpaceDN w:val="0"/>
        <w:adjustRightInd w:val="0"/>
        <w:spacing w:after="0" w:line="240" w:lineRule="auto"/>
        <w:rPr>
          <w:rFonts w:ascii="Arial" w:hAnsi="Arial" w:cs="Arial"/>
          <w:b/>
          <w:noProof/>
          <w:sz w:val="24"/>
          <w:szCs w:val="24"/>
          <w:lang w:eastAsia="en-GB"/>
        </w:rPr>
      </w:pPr>
    </w:p>
    <w:p w:rsidR="00EA79CA" w:rsidRPr="00C464A8" w:rsidRDefault="00EA79CA" w:rsidP="0025030A">
      <w:pPr>
        <w:autoSpaceDE w:val="0"/>
        <w:autoSpaceDN w:val="0"/>
        <w:adjustRightInd w:val="0"/>
        <w:spacing w:after="0" w:line="240" w:lineRule="auto"/>
        <w:rPr>
          <w:rFonts w:ascii="Arial" w:hAnsi="Arial" w:cs="Arial"/>
          <w:sz w:val="16"/>
          <w:szCs w:val="16"/>
        </w:rPr>
      </w:pPr>
      <w:r w:rsidRPr="00C464A8">
        <w:rPr>
          <w:rFonts w:ascii="Arial" w:hAnsi="Arial" w:cs="Arial"/>
          <w:sz w:val="16"/>
          <w:szCs w:val="16"/>
        </w:rPr>
        <w:t>Source: NISRA Qualifications KS13 (2001) &amp; KS501 NI</w:t>
      </w:r>
    </w:p>
    <w:p w:rsidR="00EA79CA" w:rsidRPr="00C464A8" w:rsidRDefault="00EA79CA" w:rsidP="0025030A">
      <w:pPr>
        <w:autoSpaceDE w:val="0"/>
        <w:autoSpaceDN w:val="0"/>
        <w:adjustRightInd w:val="0"/>
        <w:spacing w:after="0" w:line="240" w:lineRule="auto"/>
        <w:rPr>
          <w:rFonts w:ascii="Arial" w:hAnsi="Arial" w:cs="Arial"/>
          <w:sz w:val="16"/>
          <w:szCs w:val="16"/>
        </w:rPr>
      </w:pPr>
      <w:r w:rsidRPr="00C464A8">
        <w:rPr>
          <w:rFonts w:ascii="Arial" w:hAnsi="Arial" w:cs="Arial"/>
          <w:sz w:val="16"/>
          <w:szCs w:val="16"/>
        </w:rPr>
        <w:t xml:space="preserve">* </w:t>
      </w:r>
      <w:r w:rsidR="003D0518" w:rsidRPr="00C464A8">
        <w:rPr>
          <w:rFonts w:ascii="Arial" w:hAnsi="Arial" w:cs="Arial"/>
          <w:sz w:val="16"/>
          <w:szCs w:val="16"/>
        </w:rPr>
        <w:t>= No or low qualifications (1-4 O Levels/CSE/GCSE or equivalent) qualifications.</w:t>
      </w:r>
    </w:p>
    <w:p w:rsidR="003D0518" w:rsidRDefault="003D0518" w:rsidP="0025030A">
      <w:pPr>
        <w:autoSpaceDE w:val="0"/>
        <w:autoSpaceDN w:val="0"/>
        <w:adjustRightInd w:val="0"/>
        <w:spacing w:after="0" w:line="240" w:lineRule="auto"/>
        <w:rPr>
          <w:rFonts w:ascii="Arial" w:hAnsi="Arial" w:cs="Arial"/>
          <w:sz w:val="24"/>
          <w:szCs w:val="24"/>
        </w:rPr>
      </w:pPr>
    </w:p>
    <w:p w:rsidR="0019114F" w:rsidRDefault="00873331" w:rsidP="00FC76C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3.31</w:t>
      </w:r>
      <w:r w:rsidRPr="00132AF8">
        <w:rPr>
          <w:rFonts w:ascii="Tahoma" w:hAnsi="Tahoma" w:cs="Tahoma"/>
          <w:bCs/>
          <w:sz w:val="24"/>
          <w:szCs w:val="24"/>
        </w:rPr>
        <w:t xml:space="preserve"> </w:t>
      </w:r>
      <w:r w:rsidR="00866BF0">
        <w:rPr>
          <w:rFonts w:ascii="Tahoma" w:hAnsi="Tahoma" w:cs="Tahoma"/>
          <w:bCs/>
          <w:sz w:val="24"/>
          <w:szCs w:val="24"/>
        </w:rPr>
        <w:tab/>
      </w:r>
      <w:r w:rsidR="00FD072A" w:rsidRPr="00132AF8">
        <w:rPr>
          <w:rFonts w:ascii="Tahoma" w:hAnsi="Tahoma" w:cs="Tahoma"/>
          <w:bCs/>
          <w:sz w:val="24"/>
          <w:szCs w:val="24"/>
        </w:rPr>
        <w:t>NISRA statistics for school leavers in 2012</w:t>
      </w:r>
      <w:r w:rsidR="00995E08" w:rsidRPr="00132AF8">
        <w:rPr>
          <w:rStyle w:val="FootnoteReference"/>
          <w:rFonts w:ascii="Tahoma" w:hAnsi="Tahoma" w:cs="Tahoma"/>
          <w:bCs/>
          <w:sz w:val="24"/>
          <w:szCs w:val="24"/>
        </w:rPr>
        <w:footnoteReference w:id="21"/>
      </w:r>
      <w:r w:rsidR="00FD072A" w:rsidRPr="00132AF8">
        <w:rPr>
          <w:rFonts w:ascii="Tahoma" w:hAnsi="Tahoma" w:cs="Tahoma"/>
          <w:bCs/>
          <w:sz w:val="24"/>
          <w:szCs w:val="24"/>
        </w:rPr>
        <w:t xml:space="preserve"> show that educational attainment across the council area has continued to improve with</w:t>
      </w:r>
      <w:r w:rsidR="00435847">
        <w:rPr>
          <w:rFonts w:ascii="Tahoma" w:hAnsi="Tahoma" w:cs="Tahoma"/>
          <w:bCs/>
          <w:sz w:val="24"/>
          <w:szCs w:val="24"/>
        </w:rPr>
        <w:t xml:space="preserve"> Newry, </w:t>
      </w:r>
      <w:proofErr w:type="spellStart"/>
      <w:r w:rsidR="00435847">
        <w:rPr>
          <w:rFonts w:ascii="Tahoma" w:hAnsi="Tahoma" w:cs="Tahoma"/>
          <w:bCs/>
          <w:sz w:val="24"/>
          <w:szCs w:val="24"/>
        </w:rPr>
        <w:t>Mourne</w:t>
      </w:r>
      <w:proofErr w:type="spellEnd"/>
      <w:r w:rsidR="00435847">
        <w:rPr>
          <w:rFonts w:ascii="Tahoma" w:hAnsi="Tahoma" w:cs="Tahoma"/>
          <w:bCs/>
          <w:sz w:val="24"/>
          <w:szCs w:val="24"/>
        </w:rPr>
        <w:t xml:space="preserve"> and Down</w:t>
      </w:r>
      <w:r w:rsidR="00701388" w:rsidRPr="00132AF8">
        <w:rPr>
          <w:rFonts w:ascii="Tahoma" w:hAnsi="Tahoma" w:cs="Tahoma"/>
          <w:bCs/>
          <w:sz w:val="24"/>
          <w:szCs w:val="24"/>
        </w:rPr>
        <w:t xml:space="preserve"> above the </w:t>
      </w:r>
      <w:r w:rsidR="00FD072A" w:rsidRPr="00132AF8">
        <w:rPr>
          <w:rFonts w:ascii="Tahoma" w:hAnsi="Tahoma" w:cs="Tahoma"/>
          <w:bCs/>
          <w:sz w:val="24"/>
          <w:szCs w:val="24"/>
        </w:rPr>
        <w:t xml:space="preserve">NI </w:t>
      </w:r>
      <w:r w:rsidR="00701388" w:rsidRPr="00132AF8">
        <w:rPr>
          <w:rFonts w:ascii="Tahoma" w:hAnsi="Tahoma" w:cs="Tahoma"/>
          <w:bCs/>
          <w:sz w:val="24"/>
          <w:szCs w:val="24"/>
        </w:rPr>
        <w:t xml:space="preserve">average for those leaving with 2 A levels (57.5% v 55%) and </w:t>
      </w:r>
      <w:r w:rsidR="00FD072A" w:rsidRPr="00132AF8">
        <w:rPr>
          <w:rFonts w:ascii="Tahoma" w:hAnsi="Tahoma" w:cs="Tahoma"/>
          <w:bCs/>
          <w:sz w:val="24"/>
          <w:szCs w:val="24"/>
        </w:rPr>
        <w:t xml:space="preserve">those achieving </w:t>
      </w:r>
      <w:r w:rsidR="00701388" w:rsidRPr="00132AF8">
        <w:rPr>
          <w:rFonts w:ascii="Tahoma" w:hAnsi="Tahoma" w:cs="Tahoma"/>
          <w:bCs/>
          <w:sz w:val="24"/>
          <w:szCs w:val="24"/>
        </w:rPr>
        <w:t>at least 5 GCSEs (79.5% v 78</w:t>
      </w:r>
      <w:r w:rsidR="00FD072A" w:rsidRPr="00132AF8">
        <w:rPr>
          <w:rFonts w:ascii="Tahoma" w:hAnsi="Tahoma" w:cs="Tahoma"/>
          <w:bCs/>
          <w:sz w:val="24"/>
          <w:szCs w:val="24"/>
        </w:rPr>
        <w:t>.5</w:t>
      </w:r>
      <w:r w:rsidR="00701388" w:rsidRPr="00132AF8">
        <w:rPr>
          <w:rFonts w:ascii="Tahoma" w:hAnsi="Tahoma" w:cs="Tahoma"/>
          <w:bCs/>
          <w:sz w:val="24"/>
          <w:szCs w:val="24"/>
        </w:rPr>
        <w:t>%).</w:t>
      </w:r>
      <w:r w:rsidR="00995E08" w:rsidRPr="00132AF8">
        <w:rPr>
          <w:rFonts w:ascii="Tahoma" w:hAnsi="Tahoma" w:cs="Tahoma"/>
          <w:bCs/>
          <w:sz w:val="24"/>
          <w:szCs w:val="24"/>
        </w:rPr>
        <w:t xml:space="preserve"> The proportion of school leavers going into higher education is also above the NI average (46.4% v 42.6%). A highly </w:t>
      </w:r>
      <w:r w:rsidR="00995E08" w:rsidRPr="00132AF8">
        <w:rPr>
          <w:rFonts w:ascii="Tahoma" w:hAnsi="Tahoma" w:cs="Tahoma"/>
          <w:bCs/>
          <w:sz w:val="24"/>
          <w:szCs w:val="24"/>
        </w:rPr>
        <w:lastRenderedPageBreak/>
        <w:t xml:space="preserve">educated workforce with skills to match the emerging employment sectors with export potential </w:t>
      </w:r>
      <w:r w:rsidR="00272826" w:rsidRPr="00132AF8">
        <w:rPr>
          <w:rFonts w:ascii="Tahoma" w:hAnsi="Tahoma" w:cs="Tahoma"/>
          <w:bCs/>
          <w:sz w:val="24"/>
          <w:szCs w:val="24"/>
        </w:rPr>
        <w:t xml:space="preserve">will continue to be the </w:t>
      </w:r>
      <w:r w:rsidR="00995E08" w:rsidRPr="00132AF8">
        <w:rPr>
          <w:rFonts w:ascii="Tahoma" w:hAnsi="Tahoma" w:cs="Tahoma"/>
          <w:bCs/>
          <w:sz w:val="24"/>
          <w:szCs w:val="24"/>
        </w:rPr>
        <w:t>challenge.</w:t>
      </w:r>
    </w:p>
    <w:p w:rsidR="00866BF0" w:rsidRPr="00132AF8" w:rsidRDefault="00866BF0" w:rsidP="0025030A">
      <w:pPr>
        <w:autoSpaceDE w:val="0"/>
        <w:autoSpaceDN w:val="0"/>
        <w:adjustRightInd w:val="0"/>
        <w:spacing w:after="0" w:line="240" w:lineRule="auto"/>
        <w:rPr>
          <w:rFonts w:ascii="Tahoma" w:hAnsi="Tahoma" w:cs="Tahoma"/>
          <w:bCs/>
          <w:sz w:val="24"/>
          <w:szCs w:val="24"/>
        </w:rPr>
      </w:pPr>
    </w:p>
    <w:p w:rsidR="0025030A" w:rsidRPr="00132AF8" w:rsidRDefault="00873331" w:rsidP="00CE70BD">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3.32</w:t>
      </w:r>
      <w:r w:rsidR="0025030A" w:rsidRPr="00132AF8">
        <w:rPr>
          <w:rFonts w:ascii="Tahoma" w:hAnsi="Tahoma" w:cs="Tahoma"/>
          <w:b/>
          <w:bCs/>
          <w:sz w:val="24"/>
          <w:szCs w:val="24"/>
        </w:rPr>
        <w:t xml:space="preserve"> </w:t>
      </w:r>
      <w:r w:rsidR="00866BF0">
        <w:rPr>
          <w:rFonts w:ascii="Tahoma" w:hAnsi="Tahoma" w:cs="Tahoma"/>
          <w:b/>
          <w:bCs/>
          <w:sz w:val="24"/>
          <w:szCs w:val="24"/>
        </w:rPr>
        <w:tab/>
      </w:r>
      <w:r w:rsidR="0025030A" w:rsidRPr="00132AF8">
        <w:rPr>
          <w:rFonts w:ascii="Tahoma" w:hAnsi="Tahoma" w:cs="Tahoma"/>
          <w:sz w:val="24"/>
          <w:szCs w:val="24"/>
        </w:rPr>
        <w:t>In summary, the main features of the e</w:t>
      </w:r>
      <w:r w:rsidR="007B2046" w:rsidRPr="00132AF8">
        <w:rPr>
          <w:rFonts w:ascii="Tahoma" w:hAnsi="Tahoma" w:cs="Tahoma"/>
          <w:sz w:val="24"/>
          <w:szCs w:val="24"/>
        </w:rPr>
        <w:t xml:space="preserve">mployment situation in Newry, </w:t>
      </w:r>
      <w:proofErr w:type="spellStart"/>
      <w:r w:rsidR="007B2046" w:rsidRPr="00132AF8">
        <w:rPr>
          <w:rFonts w:ascii="Tahoma" w:hAnsi="Tahoma" w:cs="Tahoma"/>
          <w:sz w:val="24"/>
          <w:szCs w:val="24"/>
        </w:rPr>
        <w:t>Mourne</w:t>
      </w:r>
      <w:proofErr w:type="spellEnd"/>
      <w:r w:rsidR="007B2046" w:rsidRPr="00132AF8">
        <w:rPr>
          <w:rFonts w:ascii="Tahoma" w:hAnsi="Tahoma" w:cs="Tahoma"/>
          <w:sz w:val="24"/>
          <w:szCs w:val="24"/>
        </w:rPr>
        <w:t xml:space="preserve"> and </w:t>
      </w:r>
      <w:proofErr w:type="gramStart"/>
      <w:r w:rsidR="007B2046" w:rsidRPr="00132AF8">
        <w:rPr>
          <w:rFonts w:ascii="Tahoma" w:hAnsi="Tahoma" w:cs="Tahoma"/>
          <w:sz w:val="24"/>
          <w:szCs w:val="24"/>
        </w:rPr>
        <w:t>Down</w:t>
      </w:r>
      <w:proofErr w:type="gramEnd"/>
      <w:r w:rsidR="0025030A" w:rsidRPr="00132AF8">
        <w:rPr>
          <w:rFonts w:ascii="Tahoma" w:hAnsi="Tahoma" w:cs="Tahoma"/>
          <w:sz w:val="24"/>
          <w:szCs w:val="24"/>
        </w:rPr>
        <w:t xml:space="preserve"> can be summarised as follows:</w:t>
      </w:r>
    </w:p>
    <w:p w:rsidR="007429CA" w:rsidRPr="00132AF8" w:rsidRDefault="007429CA" w:rsidP="0025030A">
      <w:pPr>
        <w:autoSpaceDE w:val="0"/>
        <w:autoSpaceDN w:val="0"/>
        <w:adjustRightInd w:val="0"/>
        <w:spacing w:after="0" w:line="240" w:lineRule="auto"/>
        <w:rPr>
          <w:rFonts w:ascii="Tahoma" w:hAnsi="Tahoma" w:cs="Tahoma"/>
          <w:sz w:val="24"/>
          <w:szCs w:val="24"/>
        </w:rPr>
      </w:pPr>
    </w:p>
    <w:p w:rsidR="00B94C4F" w:rsidRPr="00132AF8" w:rsidRDefault="0025030A"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The level of economic activity in both di</w:t>
      </w:r>
      <w:r w:rsidR="00923DE6" w:rsidRPr="00132AF8">
        <w:rPr>
          <w:rFonts w:ascii="Tahoma" w:hAnsi="Tahoma" w:cs="Tahoma"/>
          <w:sz w:val="24"/>
          <w:szCs w:val="24"/>
        </w:rPr>
        <w:t>stricts has increased over the 3</w:t>
      </w:r>
      <w:r w:rsidRPr="00132AF8">
        <w:rPr>
          <w:rFonts w:ascii="Tahoma" w:hAnsi="Tahoma" w:cs="Tahoma"/>
          <w:sz w:val="24"/>
          <w:szCs w:val="24"/>
        </w:rPr>
        <w:t>0 year</w:t>
      </w:r>
      <w:r w:rsidR="00B94C4F" w:rsidRPr="00132AF8">
        <w:rPr>
          <w:rFonts w:ascii="Tahoma" w:hAnsi="Tahoma" w:cs="Tahoma"/>
          <w:sz w:val="24"/>
          <w:szCs w:val="24"/>
        </w:rPr>
        <w:t xml:space="preserve"> </w:t>
      </w:r>
      <w:r w:rsidR="00923DE6" w:rsidRPr="00132AF8">
        <w:rPr>
          <w:rFonts w:ascii="Tahoma" w:hAnsi="Tahoma" w:cs="Tahoma"/>
          <w:sz w:val="24"/>
          <w:szCs w:val="24"/>
        </w:rPr>
        <w:t>period between 198</w:t>
      </w:r>
      <w:r w:rsidRPr="00132AF8">
        <w:rPr>
          <w:rFonts w:ascii="Tahoma" w:hAnsi="Tahoma" w:cs="Tahoma"/>
          <w:sz w:val="24"/>
          <w:szCs w:val="24"/>
        </w:rPr>
        <w:t xml:space="preserve">1 and 2011. </w:t>
      </w:r>
    </w:p>
    <w:p w:rsidR="0025030A" w:rsidRPr="00132AF8" w:rsidRDefault="0025030A"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Unemployment levels have</w:t>
      </w:r>
      <w:r w:rsidR="00923DE6" w:rsidRPr="00132AF8">
        <w:rPr>
          <w:rFonts w:ascii="Tahoma" w:hAnsi="Tahoma" w:cs="Tahoma"/>
          <w:sz w:val="24"/>
          <w:szCs w:val="24"/>
        </w:rPr>
        <w:t xml:space="preserve"> started to fall</w:t>
      </w:r>
      <w:r w:rsidRPr="00132AF8">
        <w:rPr>
          <w:rFonts w:ascii="Tahoma" w:hAnsi="Tahoma" w:cs="Tahoma"/>
          <w:sz w:val="24"/>
          <w:szCs w:val="24"/>
        </w:rPr>
        <w:t xml:space="preserve"> again </w:t>
      </w:r>
      <w:r w:rsidR="00846294" w:rsidRPr="00132AF8">
        <w:rPr>
          <w:rFonts w:ascii="Tahoma" w:hAnsi="Tahoma" w:cs="Tahoma"/>
          <w:sz w:val="24"/>
          <w:szCs w:val="24"/>
        </w:rPr>
        <w:t>after the</w:t>
      </w:r>
      <w:r w:rsidRPr="00132AF8">
        <w:rPr>
          <w:rFonts w:ascii="Tahoma" w:hAnsi="Tahoma" w:cs="Tahoma"/>
          <w:sz w:val="24"/>
          <w:szCs w:val="24"/>
        </w:rPr>
        <w:t xml:space="preserve"> economic downturn.</w:t>
      </w:r>
    </w:p>
    <w:p w:rsidR="0025030A" w:rsidRPr="00132AF8" w:rsidRDefault="0025030A" w:rsidP="00CE70BD">
      <w:pPr>
        <w:pStyle w:val="ListParagraph"/>
        <w:numPr>
          <w:ilvl w:val="0"/>
          <w:numId w:val="5"/>
        </w:numPr>
        <w:autoSpaceDE w:val="0"/>
        <w:autoSpaceDN w:val="0"/>
        <w:adjustRightInd w:val="0"/>
        <w:spacing w:after="0" w:line="240" w:lineRule="auto"/>
        <w:jc w:val="both"/>
        <w:rPr>
          <w:rFonts w:ascii="Tahoma" w:hAnsi="Tahoma" w:cs="Tahoma"/>
          <w:color w:val="FF0000"/>
          <w:sz w:val="24"/>
          <w:szCs w:val="24"/>
        </w:rPr>
      </w:pPr>
      <w:r w:rsidRPr="00132AF8">
        <w:rPr>
          <w:rFonts w:ascii="Tahoma" w:hAnsi="Tahoma" w:cs="Tahoma"/>
          <w:sz w:val="24"/>
          <w:szCs w:val="24"/>
        </w:rPr>
        <w:t xml:space="preserve">Primary sector employment </w:t>
      </w:r>
      <w:r w:rsidR="00837B92" w:rsidRPr="00132AF8">
        <w:rPr>
          <w:rFonts w:ascii="Tahoma" w:hAnsi="Tahoma" w:cs="Tahoma"/>
          <w:sz w:val="24"/>
          <w:szCs w:val="24"/>
        </w:rPr>
        <w:t xml:space="preserve">in Newry, </w:t>
      </w:r>
      <w:proofErr w:type="spellStart"/>
      <w:r w:rsidR="002918B5" w:rsidRPr="00132AF8">
        <w:rPr>
          <w:rFonts w:ascii="Tahoma" w:hAnsi="Tahoma" w:cs="Tahoma"/>
          <w:sz w:val="24"/>
          <w:szCs w:val="24"/>
        </w:rPr>
        <w:t>Mourne</w:t>
      </w:r>
      <w:proofErr w:type="spellEnd"/>
      <w:r w:rsidR="002918B5" w:rsidRPr="00132AF8">
        <w:rPr>
          <w:rFonts w:ascii="Tahoma" w:hAnsi="Tahoma" w:cs="Tahoma"/>
          <w:sz w:val="24"/>
          <w:szCs w:val="24"/>
        </w:rPr>
        <w:t xml:space="preserve"> </w:t>
      </w:r>
      <w:r w:rsidR="00837B92" w:rsidRPr="00132AF8">
        <w:rPr>
          <w:rFonts w:ascii="Tahoma" w:hAnsi="Tahoma" w:cs="Tahoma"/>
          <w:sz w:val="24"/>
          <w:szCs w:val="24"/>
        </w:rPr>
        <w:t xml:space="preserve">and </w:t>
      </w:r>
      <w:proofErr w:type="gramStart"/>
      <w:r w:rsidR="00837B92" w:rsidRPr="00132AF8">
        <w:rPr>
          <w:rFonts w:ascii="Tahoma" w:hAnsi="Tahoma" w:cs="Tahoma"/>
          <w:sz w:val="24"/>
          <w:szCs w:val="24"/>
        </w:rPr>
        <w:t>Down</w:t>
      </w:r>
      <w:proofErr w:type="gramEnd"/>
      <w:r w:rsidR="00837B92" w:rsidRPr="00132AF8">
        <w:rPr>
          <w:rFonts w:ascii="Tahoma" w:hAnsi="Tahoma" w:cs="Tahoma"/>
          <w:sz w:val="24"/>
          <w:szCs w:val="24"/>
        </w:rPr>
        <w:t xml:space="preserve"> </w:t>
      </w:r>
      <w:r w:rsidRPr="00132AF8">
        <w:rPr>
          <w:rFonts w:ascii="Tahoma" w:hAnsi="Tahoma" w:cs="Tahoma"/>
          <w:sz w:val="24"/>
          <w:szCs w:val="24"/>
        </w:rPr>
        <w:t>remains higher than</w:t>
      </w:r>
      <w:r w:rsidR="00B94C4F" w:rsidRPr="00132AF8">
        <w:rPr>
          <w:rFonts w:ascii="Tahoma" w:hAnsi="Tahoma" w:cs="Tahoma"/>
          <w:sz w:val="24"/>
          <w:szCs w:val="24"/>
        </w:rPr>
        <w:t xml:space="preserve"> </w:t>
      </w:r>
      <w:r w:rsidRPr="00132AF8">
        <w:rPr>
          <w:rFonts w:ascii="Tahoma" w:hAnsi="Tahoma" w:cs="Tahoma"/>
          <w:sz w:val="24"/>
          <w:szCs w:val="24"/>
        </w:rPr>
        <w:t xml:space="preserve">the Northern </w:t>
      </w:r>
      <w:r w:rsidR="008540A1" w:rsidRPr="00132AF8">
        <w:rPr>
          <w:rFonts w:ascii="Tahoma" w:hAnsi="Tahoma" w:cs="Tahoma"/>
          <w:sz w:val="24"/>
          <w:szCs w:val="24"/>
        </w:rPr>
        <w:t>Ireland average.</w:t>
      </w:r>
      <w:r w:rsidRPr="00132AF8">
        <w:rPr>
          <w:rFonts w:ascii="Tahoma" w:hAnsi="Tahoma" w:cs="Tahoma"/>
          <w:sz w:val="24"/>
          <w:szCs w:val="24"/>
        </w:rPr>
        <w:t xml:space="preserve"> Howeve</w:t>
      </w:r>
      <w:r w:rsidR="00882524" w:rsidRPr="00132AF8">
        <w:rPr>
          <w:rFonts w:ascii="Tahoma" w:hAnsi="Tahoma" w:cs="Tahoma"/>
          <w:sz w:val="24"/>
          <w:szCs w:val="24"/>
        </w:rPr>
        <w:t>r</w:t>
      </w:r>
      <w:r w:rsidR="00923DE6" w:rsidRPr="00132AF8">
        <w:rPr>
          <w:rFonts w:ascii="Tahoma" w:hAnsi="Tahoma" w:cs="Tahoma"/>
          <w:sz w:val="24"/>
          <w:szCs w:val="24"/>
        </w:rPr>
        <w:t>, the trend</w:t>
      </w:r>
      <w:r w:rsidRPr="00132AF8">
        <w:rPr>
          <w:rFonts w:ascii="Tahoma" w:hAnsi="Tahoma" w:cs="Tahoma"/>
          <w:sz w:val="24"/>
          <w:szCs w:val="24"/>
        </w:rPr>
        <w:t xml:space="preserve"> is</w:t>
      </w:r>
      <w:r w:rsidR="00B94C4F" w:rsidRPr="00132AF8">
        <w:rPr>
          <w:rFonts w:ascii="Tahoma" w:hAnsi="Tahoma" w:cs="Tahoma"/>
          <w:sz w:val="24"/>
          <w:szCs w:val="24"/>
        </w:rPr>
        <w:t xml:space="preserve"> </w:t>
      </w:r>
      <w:r w:rsidRPr="00132AF8">
        <w:rPr>
          <w:rFonts w:ascii="Tahoma" w:hAnsi="Tahoma" w:cs="Tahoma"/>
          <w:sz w:val="24"/>
          <w:szCs w:val="24"/>
        </w:rPr>
        <w:t>towards a decline and this will require the provision of new job opportunities.</w:t>
      </w:r>
    </w:p>
    <w:p w:rsidR="00B94C4F" w:rsidRPr="00132AF8" w:rsidRDefault="00145E63"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 xml:space="preserve">In </w:t>
      </w:r>
      <w:r w:rsidR="00E41B19" w:rsidRPr="00132AF8">
        <w:rPr>
          <w:rFonts w:ascii="Tahoma" w:hAnsi="Tahoma" w:cs="Tahoma"/>
          <w:sz w:val="24"/>
          <w:szCs w:val="24"/>
        </w:rPr>
        <w:t xml:space="preserve">2011 </w:t>
      </w:r>
      <w:r w:rsidRPr="00132AF8">
        <w:rPr>
          <w:rFonts w:ascii="Tahoma" w:hAnsi="Tahoma" w:cs="Tahoma"/>
          <w:sz w:val="24"/>
          <w:szCs w:val="24"/>
        </w:rPr>
        <w:t>t</w:t>
      </w:r>
      <w:r w:rsidR="00B94C4F" w:rsidRPr="00132AF8">
        <w:rPr>
          <w:rFonts w:ascii="Tahoma" w:hAnsi="Tahoma" w:cs="Tahoma"/>
          <w:sz w:val="24"/>
          <w:szCs w:val="24"/>
        </w:rPr>
        <w:t>he proportion of jobs in</w:t>
      </w:r>
      <w:r w:rsidR="00E41B19" w:rsidRPr="00132AF8">
        <w:rPr>
          <w:rFonts w:ascii="Tahoma" w:hAnsi="Tahoma" w:cs="Tahoma"/>
        </w:rPr>
        <w:t xml:space="preserve"> </w:t>
      </w:r>
      <w:r w:rsidR="00837B92" w:rsidRPr="00132AF8">
        <w:rPr>
          <w:rFonts w:ascii="Tahoma" w:hAnsi="Tahoma" w:cs="Tahoma"/>
          <w:sz w:val="24"/>
          <w:szCs w:val="24"/>
        </w:rPr>
        <w:t xml:space="preserve">Newry, </w:t>
      </w:r>
      <w:proofErr w:type="spellStart"/>
      <w:r w:rsidR="00E41B19" w:rsidRPr="00132AF8">
        <w:rPr>
          <w:rFonts w:ascii="Tahoma" w:hAnsi="Tahoma" w:cs="Tahoma"/>
          <w:sz w:val="24"/>
          <w:szCs w:val="24"/>
        </w:rPr>
        <w:t>Mourne</w:t>
      </w:r>
      <w:proofErr w:type="spellEnd"/>
      <w:r w:rsidR="00E41B19" w:rsidRPr="00132AF8">
        <w:rPr>
          <w:rFonts w:ascii="Tahoma" w:hAnsi="Tahoma" w:cs="Tahoma"/>
          <w:sz w:val="24"/>
          <w:szCs w:val="24"/>
        </w:rPr>
        <w:t xml:space="preserve"> </w:t>
      </w:r>
      <w:r w:rsidR="00837B92" w:rsidRPr="00132AF8">
        <w:rPr>
          <w:rFonts w:ascii="Tahoma" w:hAnsi="Tahoma" w:cs="Tahoma"/>
          <w:sz w:val="24"/>
          <w:szCs w:val="24"/>
        </w:rPr>
        <w:t xml:space="preserve">and Down </w:t>
      </w:r>
      <w:r w:rsidR="00E41B19" w:rsidRPr="00132AF8">
        <w:rPr>
          <w:rFonts w:ascii="Tahoma" w:hAnsi="Tahoma" w:cs="Tahoma"/>
          <w:sz w:val="24"/>
          <w:szCs w:val="24"/>
        </w:rPr>
        <w:t>in</w:t>
      </w:r>
      <w:r w:rsidR="00B94C4F" w:rsidRPr="00132AF8">
        <w:rPr>
          <w:rFonts w:ascii="Tahoma" w:hAnsi="Tahoma" w:cs="Tahoma"/>
          <w:sz w:val="24"/>
          <w:szCs w:val="24"/>
        </w:rPr>
        <w:t xml:space="preserve"> the secondary sector is marginally high</w:t>
      </w:r>
      <w:r w:rsidR="006778DF" w:rsidRPr="00132AF8">
        <w:rPr>
          <w:rFonts w:ascii="Tahoma" w:hAnsi="Tahoma" w:cs="Tahoma"/>
          <w:sz w:val="24"/>
          <w:szCs w:val="24"/>
        </w:rPr>
        <w:t>er than the regional average</w:t>
      </w:r>
      <w:r w:rsidR="00AC65CB" w:rsidRPr="00132AF8">
        <w:rPr>
          <w:rFonts w:ascii="Tahoma" w:hAnsi="Tahoma" w:cs="Tahoma"/>
          <w:sz w:val="24"/>
          <w:szCs w:val="24"/>
        </w:rPr>
        <w:t>.</w:t>
      </w:r>
      <w:r w:rsidR="006778DF" w:rsidRPr="00132AF8">
        <w:rPr>
          <w:rFonts w:ascii="Tahoma" w:hAnsi="Tahoma" w:cs="Tahoma"/>
          <w:sz w:val="24"/>
          <w:szCs w:val="24"/>
        </w:rPr>
        <w:t xml:space="preserve"> </w:t>
      </w:r>
    </w:p>
    <w:p w:rsidR="00E41B19" w:rsidRPr="00132AF8" w:rsidRDefault="00E41B19"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 xml:space="preserve">Tertiary employment in Newry, </w:t>
      </w:r>
      <w:proofErr w:type="spellStart"/>
      <w:r w:rsidRPr="00132AF8">
        <w:rPr>
          <w:rFonts w:ascii="Tahoma" w:hAnsi="Tahoma" w:cs="Tahoma"/>
          <w:sz w:val="24"/>
          <w:szCs w:val="24"/>
        </w:rPr>
        <w:t>Mourne</w:t>
      </w:r>
      <w:proofErr w:type="spellEnd"/>
      <w:r w:rsidRPr="00132AF8">
        <w:rPr>
          <w:rFonts w:ascii="Tahoma" w:hAnsi="Tahoma" w:cs="Tahoma"/>
          <w:sz w:val="24"/>
          <w:szCs w:val="24"/>
        </w:rPr>
        <w:t xml:space="preserve"> and Down has risen from 2001 to 2011 in line with regional increases however still remains lower than regional averages.</w:t>
      </w:r>
    </w:p>
    <w:p w:rsidR="00B94C4F" w:rsidRPr="00132AF8" w:rsidRDefault="00B94C4F"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The proportion of economically active females has increased and the majority of female emplo</w:t>
      </w:r>
      <w:r w:rsidR="00846294" w:rsidRPr="00132AF8">
        <w:rPr>
          <w:rFonts w:ascii="Tahoma" w:hAnsi="Tahoma" w:cs="Tahoma"/>
          <w:sz w:val="24"/>
          <w:szCs w:val="24"/>
        </w:rPr>
        <w:t>yees work in the service sector.</w:t>
      </w:r>
    </w:p>
    <w:p w:rsidR="00B94C4F" w:rsidRPr="00132AF8" w:rsidRDefault="00B94C4F"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The majority of males wor</w:t>
      </w:r>
      <w:r w:rsidR="007B2046" w:rsidRPr="00132AF8">
        <w:rPr>
          <w:rFonts w:ascii="Tahoma" w:hAnsi="Tahoma" w:cs="Tahoma"/>
          <w:sz w:val="24"/>
          <w:szCs w:val="24"/>
        </w:rPr>
        <w:t xml:space="preserve">k in </w:t>
      </w:r>
      <w:r w:rsidRPr="00132AF8">
        <w:rPr>
          <w:rFonts w:ascii="Tahoma" w:hAnsi="Tahoma" w:cs="Tahoma"/>
          <w:sz w:val="24"/>
          <w:szCs w:val="24"/>
        </w:rPr>
        <w:t>construction, manufacturing and wholesale retail trade.</w:t>
      </w:r>
    </w:p>
    <w:p w:rsidR="00B94C4F" w:rsidRPr="00132AF8" w:rsidRDefault="00B94C4F"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The majority of businesses are classified as being micro, em</w:t>
      </w:r>
      <w:r w:rsidR="001D449A" w:rsidRPr="00132AF8">
        <w:rPr>
          <w:rFonts w:ascii="Tahoma" w:hAnsi="Tahoma" w:cs="Tahoma"/>
          <w:sz w:val="24"/>
          <w:szCs w:val="24"/>
        </w:rPr>
        <w:t>ploying less than 5 people (79</w:t>
      </w:r>
      <w:r w:rsidRPr="00132AF8">
        <w:rPr>
          <w:rFonts w:ascii="Tahoma" w:hAnsi="Tahoma" w:cs="Tahoma"/>
          <w:sz w:val="24"/>
          <w:szCs w:val="24"/>
        </w:rPr>
        <w:t>%) compared to the regional average 75.6%.</w:t>
      </w:r>
    </w:p>
    <w:p w:rsidR="00B94C4F" w:rsidRPr="00132AF8" w:rsidRDefault="00B94C4F"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A significant risk to empl</w:t>
      </w:r>
      <w:r w:rsidR="00C66497" w:rsidRPr="00132AF8">
        <w:rPr>
          <w:rFonts w:ascii="Tahoma" w:hAnsi="Tahoma" w:cs="Tahoma"/>
          <w:sz w:val="24"/>
          <w:szCs w:val="24"/>
        </w:rPr>
        <w:t xml:space="preserve">oyment levels in Newry, </w:t>
      </w:r>
      <w:proofErr w:type="spellStart"/>
      <w:r w:rsidR="00C66497" w:rsidRPr="00132AF8">
        <w:rPr>
          <w:rFonts w:ascii="Tahoma" w:hAnsi="Tahoma" w:cs="Tahoma"/>
          <w:sz w:val="24"/>
          <w:szCs w:val="24"/>
        </w:rPr>
        <w:t>Mourne</w:t>
      </w:r>
      <w:proofErr w:type="spellEnd"/>
      <w:r w:rsidR="00C66497" w:rsidRPr="00132AF8">
        <w:rPr>
          <w:rFonts w:ascii="Tahoma" w:hAnsi="Tahoma" w:cs="Tahoma"/>
          <w:sz w:val="24"/>
          <w:szCs w:val="24"/>
        </w:rPr>
        <w:t xml:space="preserve"> and </w:t>
      </w:r>
      <w:proofErr w:type="gramStart"/>
      <w:r w:rsidR="00C66497" w:rsidRPr="00132AF8">
        <w:rPr>
          <w:rFonts w:ascii="Tahoma" w:hAnsi="Tahoma" w:cs="Tahoma"/>
          <w:sz w:val="24"/>
          <w:szCs w:val="24"/>
        </w:rPr>
        <w:t>Down</w:t>
      </w:r>
      <w:proofErr w:type="gramEnd"/>
      <w:r w:rsidRPr="00132AF8">
        <w:rPr>
          <w:rFonts w:ascii="Tahoma" w:hAnsi="Tahoma" w:cs="Tahoma"/>
          <w:sz w:val="24"/>
          <w:szCs w:val="24"/>
        </w:rPr>
        <w:t xml:space="preserve"> is the predominance of the public s</w:t>
      </w:r>
      <w:r w:rsidR="00C66497" w:rsidRPr="00132AF8">
        <w:rPr>
          <w:rFonts w:ascii="Tahoma" w:hAnsi="Tahoma" w:cs="Tahoma"/>
          <w:sz w:val="24"/>
          <w:szCs w:val="24"/>
        </w:rPr>
        <w:t>ector as a source of part –time employment amongst females (48%).</w:t>
      </w:r>
    </w:p>
    <w:p w:rsidR="00772672" w:rsidRPr="00132AF8" w:rsidRDefault="008F780A" w:rsidP="00CE70BD">
      <w:pPr>
        <w:pStyle w:val="ListParagraph"/>
        <w:numPr>
          <w:ilvl w:val="0"/>
          <w:numId w:val="5"/>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 xml:space="preserve">39% of the </w:t>
      </w:r>
      <w:r w:rsidR="00B94C4F" w:rsidRPr="00132AF8">
        <w:rPr>
          <w:rFonts w:ascii="Tahoma" w:hAnsi="Tahoma" w:cs="Tahoma"/>
          <w:sz w:val="24"/>
          <w:szCs w:val="24"/>
        </w:rPr>
        <w:t xml:space="preserve">population </w:t>
      </w:r>
      <w:r w:rsidRPr="00132AF8">
        <w:rPr>
          <w:rFonts w:ascii="Tahoma" w:hAnsi="Tahoma" w:cs="Tahoma"/>
          <w:sz w:val="24"/>
          <w:szCs w:val="24"/>
        </w:rPr>
        <w:t xml:space="preserve">of Newry, </w:t>
      </w:r>
      <w:proofErr w:type="spellStart"/>
      <w:r w:rsidRPr="00132AF8">
        <w:rPr>
          <w:rFonts w:ascii="Tahoma" w:hAnsi="Tahoma" w:cs="Tahoma"/>
          <w:sz w:val="24"/>
          <w:szCs w:val="24"/>
        </w:rPr>
        <w:t>Mourne</w:t>
      </w:r>
      <w:proofErr w:type="spellEnd"/>
      <w:r w:rsidRPr="00132AF8">
        <w:rPr>
          <w:rFonts w:ascii="Tahoma" w:hAnsi="Tahoma" w:cs="Tahoma"/>
          <w:sz w:val="24"/>
          <w:szCs w:val="24"/>
        </w:rPr>
        <w:t xml:space="preserve"> and </w:t>
      </w:r>
      <w:proofErr w:type="gramStart"/>
      <w:r w:rsidRPr="00132AF8">
        <w:rPr>
          <w:rFonts w:ascii="Tahoma" w:hAnsi="Tahoma" w:cs="Tahoma"/>
          <w:sz w:val="24"/>
          <w:szCs w:val="24"/>
        </w:rPr>
        <w:t>Down</w:t>
      </w:r>
      <w:proofErr w:type="gramEnd"/>
      <w:r w:rsidRPr="00132AF8">
        <w:rPr>
          <w:rFonts w:ascii="Tahoma" w:hAnsi="Tahoma" w:cs="Tahoma"/>
          <w:sz w:val="24"/>
          <w:szCs w:val="24"/>
        </w:rPr>
        <w:t xml:space="preserve"> </w:t>
      </w:r>
      <w:r w:rsidR="00B94C4F" w:rsidRPr="00132AF8">
        <w:rPr>
          <w:rFonts w:ascii="Tahoma" w:hAnsi="Tahoma" w:cs="Tahoma"/>
          <w:sz w:val="24"/>
          <w:szCs w:val="24"/>
        </w:rPr>
        <w:t>have no or low qualifications levels.</w:t>
      </w:r>
    </w:p>
    <w:p w:rsidR="00837B92" w:rsidRDefault="00837B92" w:rsidP="00837B92">
      <w:pPr>
        <w:pStyle w:val="ListParagraph"/>
        <w:autoSpaceDE w:val="0"/>
        <w:autoSpaceDN w:val="0"/>
        <w:adjustRightInd w:val="0"/>
        <w:spacing w:after="0" w:line="240" w:lineRule="auto"/>
        <w:rPr>
          <w:rFonts w:ascii="Arial" w:hAnsi="Arial" w:cs="Arial"/>
          <w:sz w:val="24"/>
          <w:szCs w:val="24"/>
        </w:rPr>
      </w:pPr>
    </w:p>
    <w:p w:rsidR="00457B7F" w:rsidRDefault="00457B7F" w:rsidP="00837B92">
      <w:pPr>
        <w:pStyle w:val="ListParagraph"/>
        <w:autoSpaceDE w:val="0"/>
        <w:autoSpaceDN w:val="0"/>
        <w:adjustRightInd w:val="0"/>
        <w:spacing w:after="0" w:line="240" w:lineRule="auto"/>
        <w:rPr>
          <w:rFonts w:ascii="Arial" w:hAnsi="Arial" w:cs="Arial"/>
          <w:sz w:val="24"/>
          <w:szCs w:val="24"/>
        </w:rPr>
      </w:pPr>
    </w:p>
    <w:p w:rsidR="00B94C4F" w:rsidRPr="00132AF8" w:rsidRDefault="00D44B37" w:rsidP="0025030A">
      <w:pPr>
        <w:autoSpaceDE w:val="0"/>
        <w:autoSpaceDN w:val="0"/>
        <w:adjustRightInd w:val="0"/>
        <w:spacing w:after="0" w:line="240" w:lineRule="auto"/>
        <w:rPr>
          <w:rFonts w:ascii="Tahoma" w:hAnsi="Tahoma" w:cs="Tahoma"/>
          <w:b/>
          <w:sz w:val="28"/>
          <w:szCs w:val="28"/>
        </w:rPr>
      </w:pPr>
      <w:r w:rsidRPr="00132AF8">
        <w:rPr>
          <w:rFonts w:ascii="Tahoma" w:hAnsi="Tahoma" w:cs="Tahoma"/>
          <w:b/>
          <w:sz w:val="28"/>
          <w:szCs w:val="28"/>
        </w:rPr>
        <w:t>4</w:t>
      </w:r>
      <w:r w:rsidR="00AF1A80" w:rsidRPr="00132AF8">
        <w:rPr>
          <w:rFonts w:ascii="Tahoma" w:hAnsi="Tahoma" w:cs="Tahoma"/>
          <w:b/>
          <w:sz w:val="28"/>
          <w:szCs w:val="28"/>
        </w:rPr>
        <w:t xml:space="preserve">.0 </w:t>
      </w:r>
      <w:r w:rsidRPr="00132AF8">
        <w:rPr>
          <w:rFonts w:ascii="Tahoma" w:hAnsi="Tahoma" w:cs="Tahoma"/>
          <w:b/>
          <w:sz w:val="28"/>
          <w:szCs w:val="28"/>
        </w:rPr>
        <w:t xml:space="preserve"> </w:t>
      </w:r>
      <w:r w:rsidR="00866BF0">
        <w:rPr>
          <w:rFonts w:ascii="Tahoma" w:hAnsi="Tahoma" w:cs="Tahoma"/>
          <w:b/>
          <w:sz w:val="28"/>
          <w:szCs w:val="28"/>
        </w:rPr>
        <w:tab/>
      </w:r>
      <w:r w:rsidR="00483D62" w:rsidRPr="00132AF8">
        <w:rPr>
          <w:rFonts w:ascii="Tahoma" w:hAnsi="Tahoma" w:cs="Tahoma"/>
          <w:b/>
          <w:sz w:val="28"/>
          <w:szCs w:val="28"/>
        </w:rPr>
        <w:t xml:space="preserve">Tourism </w:t>
      </w:r>
      <w:r w:rsidR="00AF1A80" w:rsidRPr="00132AF8">
        <w:rPr>
          <w:rFonts w:ascii="Tahoma" w:hAnsi="Tahoma" w:cs="Tahoma"/>
          <w:b/>
          <w:sz w:val="28"/>
          <w:szCs w:val="28"/>
        </w:rPr>
        <w:t>Development</w:t>
      </w:r>
    </w:p>
    <w:p w:rsidR="00D44B37" w:rsidRPr="00132AF8" w:rsidRDefault="00D44B37" w:rsidP="0025030A">
      <w:pPr>
        <w:autoSpaceDE w:val="0"/>
        <w:autoSpaceDN w:val="0"/>
        <w:adjustRightInd w:val="0"/>
        <w:spacing w:after="0" w:line="240" w:lineRule="auto"/>
        <w:rPr>
          <w:rFonts w:ascii="Tahoma" w:hAnsi="Tahoma" w:cs="Tahoma"/>
          <w:b/>
          <w:sz w:val="24"/>
          <w:szCs w:val="24"/>
        </w:rPr>
      </w:pPr>
    </w:p>
    <w:p w:rsidR="004D5A57" w:rsidRPr="00132AF8" w:rsidRDefault="004D5A57" w:rsidP="00483D62">
      <w:pPr>
        <w:autoSpaceDE w:val="0"/>
        <w:autoSpaceDN w:val="0"/>
        <w:adjustRightInd w:val="0"/>
        <w:spacing w:after="0" w:line="240" w:lineRule="auto"/>
        <w:rPr>
          <w:rFonts w:ascii="Tahoma" w:hAnsi="Tahoma" w:cs="Tahoma"/>
          <w:sz w:val="24"/>
          <w:szCs w:val="24"/>
        </w:rPr>
      </w:pPr>
    </w:p>
    <w:p w:rsidR="00483D62" w:rsidRPr="00132AF8" w:rsidRDefault="00AF1A80"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4.1</w:t>
      </w:r>
      <w:r w:rsidRPr="00132AF8">
        <w:rPr>
          <w:rFonts w:ascii="Tahoma" w:hAnsi="Tahoma" w:cs="Tahoma"/>
          <w:sz w:val="24"/>
          <w:szCs w:val="24"/>
        </w:rPr>
        <w:t xml:space="preserve"> </w:t>
      </w:r>
      <w:r w:rsidR="00866BF0">
        <w:rPr>
          <w:rFonts w:ascii="Tahoma" w:hAnsi="Tahoma" w:cs="Tahoma"/>
          <w:sz w:val="24"/>
          <w:szCs w:val="24"/>
        </w:rPr>
        <w:tab/>
      </w:r>
      <w:r w:rsidR="00483D62" w:rsidRPr="00132AF8">
        <w:rPr>
          <w:rFonts w:ascii="Tahoma" w:hAnsi="Tahoma" w:cs="Tahoma"/>
          <w:sz w:val="24"/>
          <w:szCs w:val="24"/>
        </w:rPr>
        <w:t xml:space="preserve">The </w:t>
      </w:r>
      <w:r w:rsidR="00772672" w:rsidRPr="00132AF8">
        <w:rPr>
          <w:rFonts w:ascii="Tahoma" w:hAnsi="Tahoma" w:cs="Tahoma"/>
          <w:sz w:val="24"/>
          <w:szCs w:val="24"/>
        </w:rPr>
        <w:t xml:space="preserve">NI </w:t>
      </w:r>
      <w:r w:rsidR="00483D62" w:rsidRPr="00132AF8">
        <w:rPr>
          <w:rFonts w:ascii="Tahoma" w:hAnsi="Tahoma" w:cs="Tahoma"/>
          <w:sz w:val="24"/>
          <w:szCs w:val="24"/>
        </w:rPr>
        <w:t>Executive’s P</w:t>
      </w:r>
      <w:r w:rsidR="00DC316D" w:rsidRPr="00132AF8">
        <w:rPr>
          <w:rFonts w:ascii="Tahoma" w:hAnsi="Tahoma" w:cs="Tahoma"/>
          <w:sz w:val="24"/>
          <w:szCs w:val="24"/>
        </w:rPr>
        <w:t xml:space="preserve">rogramme for </w:t>
      </w:r>
      <w:r w:rsidR="00483D62" w:rsidRPr="00132AF8">
        <w:rPr>
          <w:rFonts w:ascii="Tahoma" w:hAnsi="Tahoma" w:cs="Tahoma"/>
          <w:sz w:val="24"/>
          <w:szCs w:val="24"/>
        </w:rPr>
        <w:t>G</w:t>
      </w:r>
      <w:r w:rsidR="00DC316D" w:rsidRPr="00132AF8">
        <w:rPr>
          <w:rFonts w:ascii="Tahoma" w:hAnsi="Tahoma" w:cs="Tahoma"/>
          <w:sz w:val="24"/>
          <w:szCs w:val="24"/>
        </w:rPr>
        <w:t>overnment (</w:t>
      </w:r>
      <w:proofErr w:type="spellStart"/>
      <w:r w:rsidR="00DC316D" w:rsidRPr="00132AF8">
        <w:rPr>
          <w:rFonts w:ascii="Tahoma" w:hAnsi="Tahoma" w:cs="Tahoma"/>
          <w:sz w:val="24"/>
          <w:szCs w:val="24"/>
        </w:rPr>
        <w:t>PfG</w:t>
      </w:r>
      <w:proofErr w:type="spellEnd"/>
      <w:r w:rsidR="00DC316D" w:rsidRPr="00132AF8">
        <w:rPr>
          <w:rFonts w:ascii="Tahoma" w:hAnsi="Tahoma" w:cs="Tahoma"/>
          <w:sz w:val="24"/>
          <w:szCs w:val="24"/>
        </w:rPr>
        <w:t>)</w:t>
      </w:r>
      <w:r w:rsidR="00483D62" w:rsidRPr="00132AF8">
        <w:rPr>
          <w:rFonts w:ascii="Tahoma" w:hAnsi="Tahoma" w:cs="Tahoma"/>
          <w:sz w:val="24"/>
          <w:szCs w:val="24"/>
        </w:rPr>
        <w:t xml:space="preserve"> identifies the Tourism Strategy as one of the ‘building blocks’ to underpin their first strategic priority of growing a sustainable economy and investing in t</w:t>
      </w:r>
      <w:r w:rsidR="00452623" w:rsidRPr="00132AF8">
        <w:rPr>
          <w:rFonts w:ascii="Tahoma" w:hAnsi="Tahoma" w:cs="Tahoma"/>
          <w:sz w:val="24"/>
          <w:szCs w:val="24"/>
        </w:rPr>
        <w:t xml:space="preserve">he future. </w:t>
      </w:r>
      <w:r w:rsidR="00D56114" w:rsidRPr="00132AF8">
        <w:rPr>
          <w:rFonts w:ascii="Tahoma" w:hAnsi="Tahoma" w:cs="Tahoma"/>
          <w:sz w:val="24"/>
          <w:szCs w:val="24"/>
        </w:rPr>
        <w:t>According to Tourism NI tourism in Northern Ireland generates 40,000 jobs and was valued at £536m in 2011 and targets are in place to grow the industry to £1billion with 10,000 more jobs by 2020.</w:t>
      </w:r>
      <w:r w:rsidR="00483D62" w:rsidRPr="00132AF8">
        <w:rPr>
          <w:rFonts w:ascii="Tahoma" w:hAnsi="Tahoma" w:cs="Tahoma"/>
          <w:sz w:val="24"/>
          <w:szCs w:val="24"/>
        </w:rPr>
        <w:t xml:space="preserve"> The NI Executive therefore recognises the potential of the tourism industry to deliver significa</w:t>
      </w:r>
      <w:r w:rsidRPr="00132AF8">
        <w:rPr>
          <w:rFonts w:ascii="Tahoma" w:hAnsi="Tahoma" w:cs="Tahoma"/>
          <w:sz w:val="24"/>
          <w:szCs w:val="24"/>
        </w:rPr>
        <w:t>nt economic growth</w:t>
      </w:r>
      <w:r w:rsidR="00D56114" w:rsidRPr="00132AF8">
        <w:rPr>
          <w:rFonts w:ascii="Tahoma" w:hAnsi="Tahoma" w:cs="Tahoma"/>
          <w:sz w:val="24"/>
          <w:szCs w:val="24"/>
        </w:rPr>
        <w:t xml:space="preserve"> over the next few years.</w:t>
      </w:r>
    </w:p>
    <w:p w:rsidR="009E54AB" w:rsidRPr="00132AF8" w:rsidRDefault="009E54AB" w:rsidP="00FC76CD">
      <w:pPr>
        <w:autoSpaceDE w:val="0"/>
        <w:autoSpaceDN w:val="0"/>
        <w:adjustRightInd w:val="0"/>
        <w:spacing w:after="0" w:line="240" w:lineRule="auto"/>
        <w:jc w:val="both"/>
        <w:rPr>
          <w:rFonts w:ascii="Tahoma" w:hAnsi="Tahoma" w:cs="Tahoma"/>
          <w:sz w:val="24"/>
          <w:szCs w:val="24"/>
        </w:rPr>
      </w:pPr>
    </w:p>
    <w:p w:rsidR="00483D62" w:rsidRPr="00132AF8" w:rsidRDefault="009E54AB"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4.2</w:t>
      </w:r>
      <w:r w:rsidRPr="00132AF8">
        <w:rPr>
          <w:rFonts w:ascii="Tahoma" w:hAnsi="Tahoma" w:cs="Tahoma"/>
          <w:sz w:val="24"/>
          <w:szCs w:val="24"/>
        </w:rPr>
        <w:t xml:space="preserve"> </w:t>
      </w:r>
      <w:r w:rsidR="00866BF0">
        <w:rPr>
          <w:rFonts w:ascii="Tahoma" w:hAnsi="Tahoma" w:cs="Tahoma"/>
          <w:sz w:val="24"/>
          <w:szCs w:val="24"/>
        </w:rPr>
        <w:tab/>
      </w:r>
      <w:r w:rsidRPr="00132AF8">
        <w:rPr>
          <w:rFonts w:ascii="Tahoma" w:hAnsi="Tahoma" w:cs="Tahoma"/>
          <w:sz w:val="24"/>
          <w:szCs w:val="24"/>
        </w:rPr>
        <w:t xml:space="preserve">The land use planning system has a key role in managing tourist related development through planning policies that provide a framework for identifying appropriate development opportunities and safeguarding assets from harmful </w:t>
      </w:r>
      <w:proofErr w:type="gramStart"/>
      <w:r w:rsidRPr="00132AF8">
        <w:rPr>
          <w:rFonts w:ascii="Tahoma" w:hAnsi="Tahoma" w:cs="Tahoma"/>
          <w:sz w:val="24"/>
          <w:szCs w:val="24"/>
        </w:rPr>
        <w:t>development.</w:t>
      </w:r>
      <w:proofErr w:type="gramEnd"/>
      <w:r w:rsidRPr="00132AF8">
        <w:rPr>
          <w:rFonts w:ascii="Tahoma" w:hAnsi="Tahoma" w:cs="Tahoma"/>
          <w:sz w:val="24"/>
          <w:szCs w:val="24"/>
        </w:rPr>
        <w:t xml:space="preserve"> </w:t>
      </w:r>
    </w:p>
    <w:p w:rsidR="009160FA" w:rsidRDefault="009160FA" w:rsidP="00483D62">
      <w:pPr>
        <w:autoSpaceDE w:val="0"/>
        <w:autoSpaceDN w:val="0"/>
        <w:adjustRightInd w:val="0"/>
        <w:spacing w:after="0" w:line="240" w:lineRule="auto"/>
        <w:rPr>
          <w:rFonts w:ascii="Arial" w:hAnsi="Arial" w:cs="Arial"/>
          <w:sz w:val="24"/>
          <w:szCs w:val="24"/>
        </w:rPr>
      </w:pPr>
    </w:p>
    <w:p w:rsidR="00132AF8" w:rsidRDefault="00132AF8" w:rsidP="00483D62">
      <w:pPr>
        <w:autoSpaceDE w:val="0"/>
        <w:autoSpaceDN w:val="0"/>
        <w:adjustRightInd w:val="0"/>
        <w:spacing w:after="0" w:line="240" w:lineRule="auto"/>
        <w:rPr>
          <w:rFonts w:ascii="Arial" w:hAnsi="Arial" w:cs="Arial"/>
          <w:sz w:val="24"/>
          <w:szCs w:val="24"/>
        </w:rPr>
      </w:pPr>
    </w:p>
    <w:p w:rsidR="00132AF8" w:rsidRDefault="00132AF8" w:rsidP="00483D62">
      <w:pPr>
        <w:autoSpaceDE w:val="0"/>
        <w:autoSpaceDN w:val="0"/>
        <w:adjustRightInd w:val="0"/>
        <w:spacing w:after="0" w:line="240" w:lineRule="auto"/>
        <w:rPr>
          <w:rFonts w:ascii="Arial" w:hAnsi="Arial" w:cs="Arial"/>
          <w:sz w:val="24"/>
          <w:szCs w:val="24"/>
        </w:rPr>
      </w:pPr>
    </w:p>
    <w:p w:rsidR="00A70ACA" w:rsidRPr="00132AF8" w:rsidRDefault="00A70ACA" w:rsidP="00483D62">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lastRenderedPageBreak/>
        <w:t xml:space="preserve">Regional </w:t>
      </w:r>
      <w:r w:rsidR="004B635D" w:rsidRPr="00132AF8">
        <w:rPr>
          <w:rFonts w:ascii="Tahoma" w:hAnsi="Tahoma" w:cs="Tahoma"/>
          <w:b/>
          <w:sz w:val="24"/>
          <w:szCs w:val="24"/>
        </w:rPr>
        <w:t xml:space="preserve">Planning </w:t>
      </w:r>
      <w:r w:rsidRPr="00132AF8">
        <w:rPr>
          <w:rFonts w:ascii="Tahoma" w:hAnsi="Tahoma" w:cs="Tahoma"/>
          <w:b/>
          <w:sz w:val="24"/>
          <w:szCs w:val="24"/>
        </w:rPr>
        <w:t>Policy Context</w:t>
      </w:r>
    </w:p>
    <w:p w:rsidR="00A70ACA" w:rsidRPr="00132AF8" w:rsidRDefault="00A70ACA" w:rsidP="00483D62">
      <w:pPr>
        <w:autoSpaceDE w:val="0"/>
        <w:autoSpaceDN w:val="0"/>
        <w:adjustRightInd w:val="0"/>
        <w:spacing w:after="0" w:line="240" w:lineRule="auto"/>
        <w:rPr>
          <w:rFonts w:ascii="Tahoma" w:hAnsi="Tahoma" w:cs="Tahoma"/>
          <w:b/>
          <w:sz w:val="24"/>
          <w:szCs w:val="24"/>
        </w:rPr>
      </w:pPr>
    </w:p>
    <w:p w:rsidR="00483D62" w:rsidRPr="00132AF8" w:rsidRDefault="00641EB1"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4.3</w:t>
      </w:r>
      <w:r w:rsidR="00AF1A80" w:rsidRPr="00132AF8">
        <w:rPr>
          <w:rFonts w:ascii="Tahoma" w:hAnsi="Tahoma" w:cs="Tahoma"/>
          <w:sz w:val="24"/>
          <w:szCs w:val="24"/>
        </w:rPr>
        <w:t xml:space="preserve"> </w:t>
      </w:r>
      <w:r w:rsidR="00866BF0">
        <w:rPr>
          <w:rFonts w:ascii="Tahoma" w:hAnsi="Tahoma" w:cs="Tahoma"/>
          <w:sz w:val="24"/>
          <w:szCs w:val="24"/>
        </w:rPr>
        <w:tab/>
      </w:r>
      <w:r w:rsidR="00E77E8E" w:rsidRPr="00132AF8">
        <w:rPr>
          <w:rFonts w:ascii="Tahoma" w:hAnsi="Tahoma" w:cs="Tahoma"/>
          <w:sz w:val="24"/>
          <w:szCs w:val="24"/>
        </w:rPr>
        <w:t xml:space="preserve">The RDS </w:t>
      </w:r>
      <w:r w:rsidR="00483D62" w:rsidRPr="00132AF8">
        <w:rPr>
          <w:rFonts w:ascii="Tahoma" w:hAnsi="Tahoma" w:cs="Tahoma"/>
          <w:sz w:val="24"/>
          <w:szCs w:val="24"/>
        </w:rPr>
        <w:t>recognises tourism as a key element underpinning sustainable economic growth in Northern Ireland and Regional Guideline 4 (RG 4) seeks to promote a sustainable approach to the provision of tourism infrastructure.</w:t>
      </w:r>
      <w:r w:rsidR="00CC7C2D" w:rsidRPr="00132AF8">
        <w:rPr>
          <w:rFonts w:ascii="Tahoma" w:hAnsi="Tahoma" w:cs="Tahoma"/>
          <w:sz w:val="24"/>
          <w:szCs w:val="24"/>
        </w:rPr>
        <w:t xml:space="preserve"> </w:t>
      </w:r>
    </w:p>
    <w:p w:rsidR="00782803" w:rsidRPr="00132AF8" w:rsidRDefault="00782803" w:rsidP="00FC76CD">
      <w:pPr>
        <w:autoSpaceDE w:val="0"/>
        <w:autoSpaceDN w:val="0"/>
        <w:adjustRightInd w:val="0"/>
        <w:spacing w:after="0" w:line="240" w:lineRule="auto"/>
        <w:jc w:val="both"/>
        <w:rPr>
          <w:rFonts w:ascii="Tahoma" w:hAnsi="Tahoma" w:cs="Tahoma"/>
          <w:sz w:val="24"/>
          <w:szCs w:val="24"/>
        </w:rPr>
      </w:pPr>
    </w:p>
    <w:p w:rsidR="00E77E8E" w:rsidRDefault="00641EB1"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4.4</w:t>
      </w:r>
      <w:r w:rsidR="00782803" w:rsidRPr="00132AF8">
        <w:rPr>
          <w:rFonts w:ascii="Tahoma" w:hAnsi="Tahoma" w:cs="Tahoma"/>
          <w:sz w:val="24"/>
          <w:szCs w:val="24"/>
        </w:rPr>
        <w:t xml:space="preserve"> </w:t>
      </w:r>
      <w:r w:rsidR="00866BF0">
        <w:rPr>
          <w:rFonts w:ascii="Tahoma" w:hAnsi="Tahoma" w:cs="Tahoma"/>
          <w:sz w:val="24"/>
          <w:szCs w:val="24"/>
        </w:rPr>
        <w:tab/>
      </w:r>
      <w:r w:rsidR="00782803" w:rsidRPr="00132AF8">
        <w:rPr>
          <w:rFonts w:ascii="Tahoma" w:hAnsi="Tahoma" w:cs="Tahoma"/>
          <w:sz w:val="24"/>
          <w:szCs w:val="24"/>
        </w:rPr>
        <w:t xml:space="preserve">The Department’s </w:t>
      </w:r>
      <w:r w:rsidR="00DF7BBC" w:rsidRPr="00132AF8">
        <w:rPr>
          <w:rFonts w:ascii="Tahoma" w:hAnsi="Tahoma" w:cs="Tahoma"/>
          <w:sz w:val="24"/>
          <w:szCs w:val="24"/>
        </w:rPr>
        <w:t>PPS</w:t>
      </w:r>
      <w:r w:rsidR="00782803" w:rsidRPr="00132AF8">
        <w:rPr>
          <w:rFonts w:ascii="Tahoma" w:hAnsi="Tahoma" w:cs="Tahoma"/>
          <w:sz w:val="24"/>
          <w:szCs w:val="24"/>
        </w:rPr>
        <w:t xml:space="preserve"> 16</w:t>
      </w:r>
      <w:r w:rsidR="00772672" w:rsidRPr="00132AF8">
        <w:rPr>
          <w:rFonts w:ascii="Tahoma" w:hAnsi="Tahoma" w:cs="Tahoma"/>
          <w:sz w:val="24"/>
          <w:szCs w:val="24"/>
        </w:rPr>
        <w:t>: Tourism</w:t>
      </w:r>
      <w:r w:rsidR="00782803" w:rsidRPr="00132AF8">
        <w:rPr>
          <w:rFonts w:ascii="Tahoma" w:hAnsi="Tahoma" w:cs="Tahoma"/>
          <w:sz w:val="24"/>
          <w:szCs w:val="24"/>
        </w:rPr>
        <w:t xml:space="preserve"> sets out the regional planning policy for tourist development and for the </w:t>
      </w:r>
      <w:r w:rsidR="006920C2" w:rsidRPr="00132AF8">
        <w:rPr>
          <w:rFonts w:ascii="Tahoma" w:hAnsi="Tahoma" w:cs="Tahoma"/>
          <w:sz w:val="24"/>
          <w:szCs w:val="24"/>
        </w:rPr>
        <w:t xml:space="preserve">safeguarding of tourism assets. </w:t>
      </w:r>
      <w:r w:rsidR="009E54AB" w:rsidRPr="00132AF8">
        <w:rPr>
          <w:rFonts w:ascii="Tahoma" w:hAnsi="Tahoma" w:cs="Tahoma"/>
          <w:sz w:val="24"/>
          <w:szCs w:val="24"/>
        </w:rPr>
        <w:t>The objectives of the statement are to:</w:t>
      </w:r>
    </w:p>
    <w:p w:rsidR="00FC76CD" w:rsidRPr="00132AF8" w:rsidRDefault="00FC76CD" w:rsidP="00FC76CD">
      <w:pPr>
        <w:autoSpaceDE w:val="0"/>
        <w:autoSpaceDN w:val="0"/>
        <w:adjustRightInd w:val="0"/>
        <w:spacing w:after="0" w:line="240" w:lineRule="auto"/>
        <w:jc w:val="both"/>
        <w:rPr>
          <w:rFonts w:ascii="Tahoma" w:hAnsi="Tahoma" w:cs="Tahoma"/>
          <w:sz w:val="24"/>
          <w:szCs w:val="24"/>
        </w:rPr>
      </w:pPr>
    </w:p>
    <w:p w:rsidR="009E54AB" w:rsidRPr="00132AF8" w:rsidRDefault="009E54AB"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Facilitate sustainable development in an environmentally sensitive manner</w:t>
      </w:r>
      <w:r w:rsidR="009160FA" w:rsidRPr="00132AF8">
        <w:rPr>
          <w:rFonts w:ascii="Tahoma" w:hAnsi="Tahoma" w:cs="Tahoma"/>
          <w:sz w:val="24"/>
          <w:szCs w:val="24"/>
        </w:rPr>
        <w:t>;</w:t>
      </w:r>
    </w:p>
    <w:p w:rsidR="009160FA" w:rsidRPr="00132AF8" w:rsidRDefault="009160FA"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Contribute to the growth of the regional economy by facilitating tourism growth;</w:t>
      </w:r>
    </w:p>
    <w:p w:rsidR="009160FA" w:rsidRPr="00132AF8" w:rsidRDefault="009160FA"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Safeguard tourism assets from inappropriate development;</w:t>
      </w:r>
    </w:p>
    <w:p w:rsidR="009160FA" w:rsidRPr="00132AF8" w:rsidRDefault="009160FA"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Utilise and develop the tourism potential of settlements by facilitating tourism development of an appropriate nature, location and scale;</w:t>
      </w:r>
    </w:p>
    <w:p w:rsidR="009160FA" w:rsidRPr="00132AF8" w:rsidRDefault="009160FA"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Sustain vibrant rural community by supporting tourism development of an appropriate nature, location and scale in rural areas; and</w:t>
      </w:r>
    </w:p>
    <w:p w:rsidR="009160FA" w:rsidRPr="00132AF8" w:rsidRDefault="009160FA" w:rsidP="00FC76CD">
      <w:pPr>
        <w:pStyle w:val="ListParagraph"/>
        <w:numPr>
          <w:ilvl w:val="0"/>
          <w:numId w:val="18"/>
        </w:numPr>
        <w:autoSpaceDE w:val="0"/>
        <w:autoSpaceDN w:val="0"/>
        <w:adjustRightInd w:val="0"/>
        <w:spacing w:after="0" w:line="240" w:lineRule="auto"/>
        <w:jc w:val="both"/>
        <w:rPr>
          <w:rFonts w:ascii="Tahoma" w:hAnsi="Tahoma" w:cs="Tahoma"/>
          <w:sz w:val="24"/>
          <w:szCs w:val="24"/>
        </w:rPr>
      </w:pPr>
      <w:r w:rsidRPr="00132AF8">
        <w:rPr>
          <w:rFonts w:ascii="Tahoma" w:hAnsi="Tahoma" w:cs="Tahoma"/>
          <w:sz w:val="24"/>
          <w:szCs w:val="24"/>
        </w:rPr>
        <w:t xml:space="preserve">Ensure a high </w:t>
      </w:r>
      <w:r w:rsidR="00DE55C1" w:rsidRPr="00132AF8">
        <w:rPr>
          <w:rFonts w:ascii="Tahoma" w:hAnsi="Tahoma" w:cs="Tahoma"/>
          <w:sz w:val="24"/>
          <w:szCs w:val="24"/>
        </w:rPr>
        <w:t>standard of quality and design for all tourism development.</w:t>
      </w:r>
    </w:p>
    <w:p w:rsidR="00D56114" w:rsidRPr="00132AF8" w:rsidRDefault="00D56114" w:rsidP="00FC76CD">
      <w:pPr>
        <w:autoSpaceDE w:val="0"/>
        <w:autoSpaceDN w:val="0"/>
        <w:adjustRightInd w:val="0"/>
        <w:spacing w:after="0" w:line="240" w:lineRule="auto"/>
        <w:jc w:val="both"/>
        <w:rPr>
          <w:rFonts w:ascii="Tahoma" w:hAnsi="Tahoma" w:cs="Tahoma"/>
          <w:sz w:val="24"/>
          <w:szCs w:val="24"/>
        </w:rPr>
      </w:pPr>
    </w:p>
    <w:p w:rsidR="00D62741" w:rsidRPr="00132AF8" w:rsidRDefault="00641EB1"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4.5</w:t>
      </w:r>
      <w:r w:rsidR="00782803" w:rsidRPr="00132AF8">
        <w:rPr>
          <w:rFonts w:ascii="Tahoma" w:hAnsi="Tahoma" w:cs="Tahoma"/>
          <w:sz w:val="24"/>
          <w:szCs w:val="24"/>
        </w:rPr>
        <w:t xml:space="preserve"> </w:t>
      </w:r>
      <w:r w:rsidR="00866BF0">
        <w:rPr>
          <w:rFonts w:ascii="Tahoma" w:hAnsi="Tahoma" w:cs="Tahoma"/>
          <w:sz w:val="24"/>
          <w:szCs w:val="24"/>
        </w:rPr>
        <w:tab/>
      </w:r>
      <w:r w:rsidR="00782803" w:rsidRPr="00132AF8">
        <w:rPr>
          <w:rFonts w:ascii="Tahoma" w:hAnsi="Tahoma" w:cs="Tahoma"/>
          <w:sz w:val="24"/>
          <w:szCs w:val="24"/>
        </w:rPr>
        <w:t xml:space="preserve">The SPPS states that </w:t>
      </w:r>
      <w:r w:rsidR="006920C2" w:rsidRPr="00132AF8">
        <w:rPr>
          <w:rFonts w:ascii="Tahoma" w:hAnsi="Tahoma" w:cs="Tahoma"/>
          <w:sz w:val="24"/>
          <w:szCs w:val="24"/>
        </w:rPr>
        <w:t xml:space="preserve">Council’s </w:t>
      </w:r>
      <w:r w:rsidR="00DE55C1" w:rsidRPr="00132AF8">
        <w:rPr>
          <w:rFonts w:ascii="Tahoma" w:hAnsi="Tahoma" w:cs="Tahoma"/>
          <w:sz w:val="24"/>
          <w:szCs w:val="24"/>
        </w:rPr>
        <w:t xml:space="preserve">new </w:t>
      </w:r>
      <w:r w:rsidR="00782803" w:rsidRPr="00132AF8">
        <w:rPr>
          <w:rFonts w:ascii="Tahoma" w:hAnsi="Tahoma" w:cs="Tahoma"/>
          <w:sz w:val="24"/>
          <w:szCs w:val="24"/>
        </w:rPr>
        <w:t>local development plans sho</w:t>
      </w:r>
      <w:r w:rsidR="00EA2713">
        <w:rPr>
          <w:rFonts w:ascii="Tahoma" w:hAnsi="Tahoma" w:cs="Tahoma"/>
          <w:sz w:val="24"/>
          <w:szCs w:val="24"/>
        </w:rPr>
        <w:t>uld bring forward policies for t</w:t>
      </w:r>
      <w:r w:rsidR="00782803" w:rsidRPr="00132AF8">
        <w:rPr>
          <w:rFonts w:ascii="Tahoma" w:hAnsi="Tahoma" w:cs="Tahoma"/>
          <w:sz w:val="24"/>
          <w:szCs w:val="24"/>
        </w:rPr>
        <w:t xml:space="preserve">ourism development </w:t>
      </w:r>
      <w:r w:rsidR="006920C2" w:rsidRPr="00132AF8">
        <w:rPr>
          <w:rFonts w:ascii="Tahoma" w:hAnsi="Tahoma" w:cs="Tahoma"/>
          <w:sz w:val="24"/>
          <w:szCs w:val="24"/>
        </w:rPr>
        <w:t xml:space="preserve">tailored </w:t>
      </w:r>
      <w:r w:rsidR="00342339">
        <w:rPr>
          <w:rFonts w:ascii="Tahoma" w:hAnsi="Tahoma" w:cs="Tahoma"/>
          <w:sz w:val="24"/>
          <w:szCs w:val="24"/>
        </w:rPr>
        <w:t>to specific</w:t>
      </w:r>
      <w:r w:rsidR="00D62741" w:rsidRPr="00132AF8">
        <w:rPr>
          <w:rFonts w:ascii="Tahoma" w:hAnsi="Tahoma" w:cs="Tahoma"/>
          <w:sz w:val="24"/>
          <w:szCs w:val="24"/>
        </w:rPr>
        <w:t xml:space="preserve"> circumstances</w:t>
      </w:r>
      <w:r w:rsidR="00342339">
        <w:rPr>
          <w:rFonts w:ascii="Tahoma" w:hAnsi="Tahoma" w:cs="Tahoma"/>
          <w:sz w:val="24"/>
          <w:szCs w:val="24"/>
        </w:rPr>
        <w:t xml:space="preserve"> of the plan area</w:t>
      </w:r>
      <w:r w:rsidR="006920C2" w:rsidRPr="00132AF8">
        <w:rPr>
          <w:rFonts w:ascii="Tahoma" w:hAnsi="Tahoma" w:cs="Tahoma"/>
          <w:sz w:val="24"/>
          <w:szCs w:val="24"/>
        </w:rPr>
        <w:t>.</w:t>
      </w:r>
      <w:r w:rsidR="00D62741" w:rsidRPr="00132AF8">
        <w:rPr>
          <w:rFonts w:ascii="Tahoma" w:hAnsi="Tahoma" w:cs="Tahoma"/>
          <w:sz w:val="24"/>
          <w:szCs w:val="24"/>
        </w:rPr>
        <w:t xml:space="preserve"> </w:t>
      </w:r>
      <w:r w:rsidR="006920C2" w:rsidRPr="00132AF8">
        <w:rPr>
          <w:rFonts w:ascii="Tahoma" w:hAnsi="Tahoma" w:cs="Tahoma"/>
          <w:sz w:val="24"/>
          <w:szCs w:val="24"/>
        </w:rPr>
        <w:t xml:space="preserve"> </w:t>
      </w:r>
      <w:r w:rsidR="009E54AB" w:rsidRPr="00132AF8">
        <w:rPr>
          <w:rFonts w:ascii="Tahoma" w:hAnsi="Tahoma" w:cs="Tahoma"/>
          <w:sz w:val="24"/>
          <w:szCs w:val="24"/>
        </w:rPr>
        <w:t xml:space="preserve">The guiding principle should be </w:t>
      </w:r>
      <w:r w:rsidR="009160FA" w:rsidRPr="00132AF8">
        <w:rPr>
          <w:rFonts w:ascii="Tahoma" w:hAnsi="Tahoma" w:cs="Tahoma"/>
          <w:sz w:val="24"/>
          <w:szCs w:val="24"/>
        </w:rPr>
        <w:t xml:space="preserve">to </w:t>
      </w:r>
      <w:r w:rsidR="009E54AB" w:rsidRPr="00132AF8">
        <w:rPr>
          <w:rFonts w:ascii="Tahoma" w:hAnsi="Tahoma" w:cs="Tahoma"/>
          <w:sz w:val="24"/>
          <w:szCs w:val="24"/>
        </w:rPr>
        <w:t>facilitate tourism development where this supports rural communities and promotes a healthy rural economy and tourism sector. The SPPS indicates that farm diversification, the re-use of rural buildings and appropriate re-development and expansi</w:t>
      </w:r>
      <w:r w:rsidR="00342339">
        <w:rPr>
          <w:rFonts w:ascii="Tahoma" w:hAnsi="Tahoma" w:cs="Tahoma"/>
          <w:sz w:val="24"/>
          <w:szCs w:val="24"/>
        </w:rPr>
        <w:t xml:space="preserve">on proposals offer </w:t>
      </w:r>
      <w:r w:rsidR="009E54AB" w:rsidRPr="00132AF8">
        <w:rPr>
          <w:rFonts w:ascii="Tahoma" w:hAnsi="Tahoma" w:cs="Tahoma"/>
          <w:sz w:val="24"/>
          <w:szCs w:val="24"/>
        </w:rPr>
        <w:t>scope for sustainable tourism in the countryside.</w:t>
      </w:r>
      <w:r w:rsidR="00545425">
        <w:rPr>
          <w:rFonts w:ascii="Tahoma" w:hAnsi="Tahoma" w:cs="Tahoma"/>
          <w:sz w:val="24"/>
          <w:szCs w:val="24"/>
        </w:rPr>
        <w:t xml:space="preserve"> </w:t>
      </w:r>
    </w:p>
    <w:p w:rsidR="00E26789" w:rsidRDefault="00E26789" w:rsidP="00FC76CD">
      <w:pPr>
        <w:autoSpaceDE w:val="0"/>
        <w:autoSpaceDN w:val="0"/>
        <w:adjustRightInd w:val="0"/>
        <w:spacing w:after="0" w:line="240" w:lineRule="auto"/>
        <w:jc w:val="both"/>
        <w:rPr>
          <w:rFonts w:ascii="Arial" w:hAnsi="Arial" w:cs="Arial"/>
          <w:b/>
          <w:sz w:val="24"/>
          <w:szCs w:val="24"/>
        </w:rPr>
      </w:pPr>
    </w:p>
    <w:p w:rsidR="00E26789" w:rsidRDefault="00E26789" w:rsidP="00E77E8E">
      <w:pPr>
        <w:autoSpaceDE w:val="0"/>
        <w:autoSpaceDN w:val="0"/>
        <w:adjustRightInd w:val="0"/>
        <w:spacing w:after="0" w:line="240" w:lineRule="auto"/>
        <w:rPr>
          <w:rFonts w:ascii="Arial" w:hAnsi="Arial" w:cs="Arial"/>
          <w:b/>
          <w:sz w:val="24"/>
          <w:szCs w:val="24"/>
        </w:rPr>
      </w:pPr>
    </w:p>
    <w:p w:rsidR="006920C2" w:rsidRPr="00132AF8" w:rsidRDefault="006920C2" w:rsidP="00E77E8E">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Local Development Plan</w:t>
      </w:r>
    </w:p>
    <w:p w:rsidR="00033D6E" w:rsidRPr="00132AF8" w:rsidRDefault="00033D6E" w:rsidP="00E77E8E">
      <w:pPr>
        <w:autoSpaceDE w:val="0"/>
        <w:autoSpaceDN w:val="0"/>
        <w:adjustRightInd w:val="0"/>
        <w:spacing w:after="0" w:line="240" w:lineRule="auto"/>
        <w:rPr>
          <w:rFonts w:ascii="Tahoma" w:hAnsi="Tahoma" w:cs="Tahoma"/>
          <w:sz w:val="24"/>
          <w:szCs w:val="24"/>
        </w:rPr>
      </w:pPr>
    </w:p>
    <w:p w:rsidR="00033D6E" w:rsidRPr="00132AF8" w:rsidRDefault="00641EB1"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4.6</w:t>
      </w:r>
      <w:r w:rsidR="00457736" w:rsidRPr="00132AF8">
        <w:rPr>
          <w:rFonts w:ascii="Tahoma" w:hAnsi="Tahoma" w:cs="Tahoma"/>
          <w:sz w:val="24"/>
          <w:szCs w:val="24"/>
        </w:rPr>
        <w:t xml:space="preserve"> </w:t>
      </w:r>
      <w:r w:rsidR="00866BF0">
        <w:rPr>
          <w:rFonts w:ascii="Tahoma" w:hAnsi="Tahoma" w:cs="Tahoma"/>
          <w:sz w:val="24"/>
          <w:szCs w:val="24"/>
        </w:rPr>
        <w:tab/>
      </w:r>
      <w:r w:rsidR="00033D6E" w:rsidRPr="00132AF8">
        <w:rPr>
          <w:rFonts w:ascii="Tahoma" w:hAnsi="Tahoma" w:cs="Tahoma"/>
          <w:sz w:val="24"/>
          <w:szCs w:val="24"/>
        </w:rPr>
        <w:t xml:space="preserve">The </w:t>
      </w:r>
      <w:proofErr w:type="spellStart"/>
      <w:r w:rsidR="00033D6E" w:rsidRPr="00132AF8">
        <w:rPr>
          <w:rFonts w:ascii="Tahoma" w:hAnsi="Tahoma" w:cs="Tahoma"/>
          <w:sz w:val="24"/>
          <w:szCs w:val="24"/>
        </w:rPr>
        <w:t>Councils’s</w:t>
      </w:r>
      <w:proofErr w:type="spellEnd"/>
      <w:r w:rsidR="00033D6E" w:rsidRPr="00132AF8">
        <w:rPr>
          <w:rFonts w:ascii="Tahoma" w:hAnsi="Tahoma" w:cs="Tahoma"/>
          <w:sz w:val="24"/>
          <w:szCs w:val="24"/>
        </w:rPr>
        <w:t xml:space="preserve"> LDP will therefore contain policies for the protection of tourist assets together with policies for tourist development such as tourism accommodation, amenity facilities, and holiday parks, and the criteria for consideration of such proposals.</w:t>
      </w:r>
      <w:r w:rsidR="00545425">
        <w:rPr>
          <w:rFonts w:ascii="Tahoma" w:hAnsi="Tahoma" w:cs="Tahoma"/>
          <w:sz w:val="24"/>
          <w:szCs w:val="24"/>
        </w:rPr>
        <w:t xml:space="preserve"> </w:t>
      </w:r>
    </w:p>
    <w:p w:rsidR="00E77E8E" w:rsidRPr="00132AF8" w:rsidRDefault="00E77E8E" w:rsidP="00FC76CD">
      <w:pPr>
        <w:autoSpaceDE w:val="0"/>
        <w:autoSpaceDN w:val="0"/>
        <w:adjustRightInd w:val="0"/>
        <w:spacing w:after="0" w:line="240" w:lineRule="auto"/>
        <w:jc w:val="both"/>
        <w:rPr>
          <w:rFonts w:ascii="Tahoma" w:hAnsi="Tahoma" w:cs="Tahoma"/>
          <w:sz w:val="24"/>
          <w:szCs w:val="24"/>
        </w:rPr>
      </w:pPr>
    </w:p>
    <w:p w:rsidR="00E77E8E" w:rsidRPr="00132AF8" w:rsidRDefault="00641EB1"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4.7</w:t>
      </w:r>
      <w:r w:rsidR="00AF1A80" w:rsidRPr="00132AF8">
        <w:rPr>
          <w:rFonts w:ascii="Tahoma" w:hAnsi="Tahoma" w:cs="Tahoma"/>
          <w:sz w:val="24"/>
          <w:szCs w:val="24"/>
        </w:rPr>
        <w:t xml:space="preserve"> </w:t>
      </w:r>
      <w:r w:rsidR="00866BF0">
        <w:rPr>
          <w:rFonts w:ascii="Tahoma" w:hAnsi="Tahoma" w:cs="Tahoma"/>
          <w:sz w:val="24"/>
          <w:szCs w:val="24"/>
        </w:rPr>
        <w:tab/>
      </w:r>
      <w:r w:rsidR="00E77E8E" w:rsidRPr="00132AF8">
        <w:rPr>
          <w:rFonts w:ascii="Tahoma" w:hAnsi="Tahoma" w:cs="Tahoma"/>
          <w:sz w:val="24"/>
          <w:szCs w:val="24"/>
        </w:rPr>
        <w:t>Through utilising existing environmental, historical, cultural and geographic assets, tourism can be an economic driver capable of stimulating further growth and development opportunities. In rural areas tourism is important to the development of the rural economy</w:t>
      </w:r>
      <w:r w:rsidR="00A224BE" w:rsidRPr="00132AF8">
        <w:rPr>
          <w:rFonts w:ascii="Tahoma" w:hAnsi="Tahoma" w:cs="Tahoma"/>
          <w:sz w:val="24"/>
          <w:szCs w:val="24"/>
        </w:rPr>
        <w:t xml:space="preserve"> through supporting and enhancing local services and facilities, offering</w:t>
      </w:r>
      <w:r w:rsidR="00E77E8E" w:rsidRPr="00132AF8">
        <w:rPr>
          <w:rFonts w:ascii="Tahoma" w:hAnsi="Tahoma" w:cs="Tahoma"/>
          <w:sz w:val="24"/>
          <w:szCs w:val="24"/>
        </w:rPr>
        <w:t xml:space="preserve"> opportunities for farm diversification to supplement farm incomes or broader rural diversification capable of providing employment.</w:t>
      </w:r>
    </w:p>
    <w:p w:rsidR="00A224BE" w:rsidRPr="00132AF8" w:rsidRDefault="00A224BE" w:rsidP="00FC76CD">
      <w:pPr>
        <w:autoSpaceDE w:val="0"/>
        <w:autoSpaceDN w:val="0"/>
        <w:adjustRightInd w:val="0"/>
        <w:spacing w:after="0" w:line="240" w:lineRule="auto"/>
        <w:jc w:val="both"/>
        <w:rPr>
          <w:rFonts w:ascii="Tahoma" w:hAnsi="Tahoma" w:cs="Tahoma"/>
          <w:sz w:val="24"/>
          <w:szCs w:val="24"/>
        </w:rPr>
      </w:pPr>
    </w:p>
    <w:p w:rsidR="00A224BE" w:rsidRDefault="00457736"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4.8</w:t>
      </w:r>
      <w:r w:rsidR="00AF1A80" w:rsidRPr="00132AF8">
        <w:rPr>
          <w:rFonts w:ascii="Tahoma" w:hAnsi="Tahoma" w:cs="Tahoma"/>
          <w:sz w:val="24"/>
          <w:szCs w:val="24"/>
        </w:rPr>
        <w:t xml:space="preserve"> </w:t>
      </w:r>
      <w:r w:rsidR="00866BF0">
        <w:rPr>
          <w:rFonts w:ascii="Tahoma" w:hAnsi="Tahoma" w:cs="Tahoma"/>
          <w:sz w:val="24"/>
          <w:szCs w:val="24"/>
        </w:rPr>
        <w:tab/>
      </w:r>
      <w:r w:rsidR="001D449A" w:rsidRPr="00132AF8">
        <w:rPr>
          <w:rFonts w:ascii="Tahoma" w:hAnsi="Tahoma" w:cs="Tahoma"/>
          <w:sz w:val="24"/>
          <w:szCs w:val="24"/>
        </w:rPr>
        <w:t xml:space="preserve">As </w:t>
      </w:r>
      <w:proofErr w:type="gramStart"/>
      <w:r w:rsidR="001D449A" w:rsidRPr="00132AF8">
        <w:rPr>
          <w:rFonts w:ascii="Tahoma" w:hAnsi="Tahoma" w:cs="Tahoma"/>
          <w:sz w:val="24"/>
          <w:szCs w:val="24"/>
        </w:rPr>
        <w:t>part of the process of developing t</w:t>
      </w:r>
      <w:r w:rsidR="00E17D57" w:rsidRPr="00132AF8">
        <w:rPr>
          <w:rFonts w:ascii="Tahoma" w:hAnsi="Tahoma" w:cs="Tahoma"/>
          <w:sz w:val="24"/>
          <w:szCs w:val="24"/>
        </w:rPr>
        <w:t>he evidence base</w:t>
      </w:r>
      <w:proofErr w:type="gramEnd"/>
      <w:r w:rsidR="00E17D57" w:rsidRPr="00132AF8">
        <w:rPr>
          <w:rFonts w:ascii="Tahoma" w:hAnsi="Tahoma" w:cs="Tahoma"/>
          <w:sz w:val="24"/>
          <w:szCs w:val="24"/>
        </w:rPr>
        <w:t xml:space="preserve"> for the new Local Development Plan the </w:t>
      </w:r>
      <w:r w:rsidR="00DF7BBC" w:rsidRPr="00132AF8">
        <w:rPr>
          <w:rFonts w:ascii="Tahoma" w:hAnsi="Tahoma" w:cs="Tahoma"/>
          <w:sz w:val="24"/>
          <w:szCs w:val="24"/>
        </w:rPr>
        <w:t>P</w:t>
      </w:r>
      <w:r w:rsidR="00E17D57" w:rsidRPr="00132AF8">
        <w:rPr>
          <w:rFonts w:ascii="Tahoma" w:hAnsi="Tahoma" w:cs="Tahoma"/>
          <w:sz w:val="24"/>
          <w:szCs w:val="24"/>
        </w:rPr>
        <w:t xml:space="preserve">lan </w:t>
      </w:r>
      <w:r w:rsidR="00DF7BBC" w:rsidRPr="00132AF8">
        <w:rPr>
          <w:rFonts w:ascii="Tahoma" w:hAnsi="Tahoma" w:cs="Tahoma"/>
          <w:sz w:val="24"/>
          <w:szCs w:val="24"/>
        </w:rPr>
        <w:t>T</w:t>
      </w:r>
      <w:r w:rsidR="00E17D57" w:rsidRPr="00132AF8">
        <w:rPr>
          <w:rFonts w:ascii="Tahoma" w:hAnsi="Tahoma" w:cs="Tahoma"/>
          <w:sz w:val="24"/>
          <w:szCs w:val="24"/>
        </w:rPr>
        <w:t>eam</w:t>
      </w:r>
      <w:r w:rsidR="001D449A" w:rsidRPr="00132AF8">
        <w:rPr>
          <w:rFonts w:ascii="Tahoma" w:hAnsi="Tahoma" w:cs="Tahoma"/>
          <w:sz w:val="24"/>
          <w:szCs w:val="24"/>
        </w:rPr>
        <w:t xml:space="preserve"> intend to produce further papers one of which will f</w:t>
      </w:r>
      <w:r w:rsidR="00AC6995" w:rsidRPr="00132AF8">
        <w:rPr>
          <w:rFonts w:ascii="Tahoma" w:hAnsi="Tahoma" w:cs="Tahoma"/>
          <w:sz w:val="24"/>
          <w:szCs w:val="24"/>
        </w:rPr>
        <w:t xml:space="preserve">ocus on </w:t>
      </w:r>
      <w:r w:rsidR="001D449A" w:rsidRPr="00132AF8">
        <w:rPr>
          <w:rFonts w:ascii="Tahoma" w:hAnsi="Tahoma" w:cs="Tahoma"/>
          <w:sz w:val="24"/>
          <w:szCs w:val="24"/>
        </w:rPr>
        <w:t xml:space="preserve">Tourism. </w:t>
      </w:r>
      <w:r w:rsidR="00AC6995" w:rsidRPr="00132AF8">
        <w:rPr>
          <w:rFonts w:ascii="Tahoma" w:hAnsi="Tahoma" w:cs="Tahoma"/>
          <w:sz w:val="24"/>
          <w:szCs w:val="24"/>
        </w:rPr>
        <w:t>This wil</w:t>
      </w:r>
      <w:r w:rsidR="00762E85" w:rsidRPr="00132AF8">
        <w:rPr>
          <w:rFonts w:ascii="Tahoma" w:hAnsi="Tahoma" w:cs="Tahoma"/>
          <w:sz w:val="24"/>
          <w:szCs w:val="24"/>
        </w:rPr>
        <w:t>l provide members with further evidence on the role of the tourism industry within the Council area and provide an aid to discussion on future tourism policies and proposals.</w:t>
      </w:r>
    </w:p>
    <w:p w:rsidR="005A71B5" w:rsidRPr="00132AF8" w:rsidRDefault="001A481F" w:rsidP="001D449A">
      <w:pPr>
        <w:autoSpaceDE w:val="0"/>
        <w:autoSpaceDN w:val="0"/>
        <w:adjustRightInd w:val="0"/>
        <w:spacing w:after="0" w:line="240" w:lineRule="auto"/>
        <w:rPr>
          <w:rFonts w:ascii="Tahoma" w:hAnsi="Tahoma" w:cs="Tahoma"/>
          <w:b/>
          <w:sz w:val="28"/>
          <w:szCs w:val="28"/>
        </w:rPr>
      </w:pPr>
      <w:r w:rsidRPr="00132AF8">
        <w:rPr>
          <w:rFonts w:ascii="Tahoma" w:hAnsi="Tahoma" w:cs="Tahoma"/>
          <w:b/>
          <w:sz w:val="28"/>
          <w:szCs w:val="28"/>
        </w:rPr>
        <w:lastRenderedPageBreak/>
        <w:t xml:space="preserve">5.0 </w:t>
      </w:r>
      <w:r w:rsidR="00866BF0">
        <w:rPr>
          <w:rFonts w:ascii="Tahoma" w:hAnsi="Tahoma" w:cs="Tahoma"/>
          <w:b/>
          <w:sz w:val="28"/>
          <w:szCs w:val="28"/>
        </w:rPr>
        <w:tab/>
      </w:r>
      <w:r w:rsidR="00144195" w:rsidRPr="00132AF8">
        <w:rPr>
          <w:rFonts w:ascii="Tahoma" w:hAnsi="Tahoma" w:cs="Tahoma"/>
          <w:b/>
          <w:sz w:val="28"/>
          <w:szCs w:val="28"/>
        </w:rPr>
        <w:t>Harbour</w:t>
      </w:r>
      <w:r w:rsidR="001F14FF" w:rsidRPr="00132AF8">
        <w:rPr>
          <w:rFonts w:ascii="Tahoma" w:hAnsi="Tahoma" w:cs="Tahoma"/>
          <w:b/>
          <w:sz w:val="28"/>
          <w:szCs w:val="28"/>
        </w:rPr>
        <w:t xml:space="preserve"> Development</w:t>
      </w:r>
      <w:r w:rsidR="00C4706C">
        <w:rPr>
          <w:rFonts w:ascii="Tahoma" w:hAnsi="Tahoma" w:cs="Tahoma"/>
          <w:b/>
          <w:sz w:val="28"/>
          <w:szCs w:val="28"/>
        </w:rPr>
        <w:t xml:space="preserve"> and Associated Infrastructure</w:t>
      </w:r>
    </w:p>
    <w:p w:rsidR="005834E9" w:rsidRPr="00132AF8" w:rsidRDefault="005834E9" w:rsidP="001D449A">
      <w:pPr>
        <w:autoSpaceDE w:val="0"/>
        <w:autoSpaceDN w:val="0"/>
        <w:adjustRightInd w:val="0"/>
        <w:spacing w:after="0" w:line="240" w:lineRule="auto"/>
        <w:rPr>
          <w:rFonts w:ascii="Tahoma" w:hAnsi="Tahoma" w:cs="Tahoma"/>
          <w:b/>
          <w:sz w:val="28"/>
          <w:szCs w:val="28"/>
        </w:rPr>
      </w:pPr>
    </w:p>
    <w:p w:rsidR="005834E9"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5.1</w:t>
      </w:r>
      <w:r w:rsidRPr="00132AF8">
        <w:rPr>
          <w:rFonts w:ascii="Tahoma" w:hAnsi="Tahoma" w:cs="Tahoma"/>
          <w:sz w:val="24"/>
          <w:szCs w:val="24"/>
        </w:rPr>
        <w:t xml:space="preserve"> </w:t>
      </w:r>
      <w:r w:rsidR="00866BF0">
        <w:rPr>
          <w:rFonts w:ascii="Tahoma" w:hAnsi="Tahoma" w:cs="Tahoma"/>
          <w:sz w:val="24"/>
          <w:szCs w:val="24"/>
        </w:rPr>
        <w:tab/>
      </w:r>
      <w:r w:rsidR="00F9312B" w:rsidRPr="00132AF8">
        <w:rPr>
          <w:rFonts w:ascii="Tahoma" w:hAnsi="Tahoma" w:cs="Tahoma"/>
          <w:sz w:val="24"/>
          <w:szCs w:val="24"/>
        </w:rPr>
        <w:t xml:space="preserve">This section focuses on the contribution of </w:t>
      </w:r>
      <w:proofErr w:type="spellStart"/>
      <w:r w:rsidR="00F9312B" w:rsidRPr="00132AF8">
        <w:rPr>
          <w:rFonts w:ascii="Tahoma" w:hAnsi="Tahoma" w:cs="Tahoma"/>
          <w:sz w:val="24"/>
          <w:szCs w:val="24"/>
        </w:rPr>
        <w:t>Kilkeel</w:t>
      </w:r>
      <w:proofErr w:type="spellEnd"/>
      <w:r w:rsidR="00F9312B" w:rsidRPr="00132AF8">
        <w:rPr>
          <w:rFonts w:ascii="Tahoma" w:hAnsi="Tahoma" w:cs="Tahoma"/>
          <w:sz w:val="24"/>
          <w:szCs w:val="24"/>
        </w:rPr>
        <w:t xml:space="preserve"> and </w:t>
      </w:r>
      <w:proofErr w:type="spellStart"/>
      <w:r w:rsidR="00F9312B" w:rsidRPr="00132AF8">
        <w:rPr>
          <w:rFonts w:ascii="Tahoma" w:hAnsi="Tahoma" w:cs="Tahoma"/>
          <w:sz w:val="24"/>
          <w:szCs w:val="24"/>
        </w:rPr>
        <w:t>Warrenpoint</w:t>
      </w:r>
      <w:proofErr w:type="spellEnd"/>
      <w:r w:rsidR="00F9312B" w:rsidRPr="00132AF8">
        <w:rPr>
          <w:rFonts w:ascii="Tahoma" w:hAnsi="Tahoma" w:cs="Tahoma"/>
          <w:sz w:val="24"/>
          <w:szCs w:val="24"/>
        </w:rPr>
        <w:t xml:space="preserve"> harbours to the local economy and highlights </w:t>
      </w:r>
      <w:r w:rsidR="005466FD" w:rsidRPr="00132AF8">
        <w:rPr>
          <w:rFonts w:ascii="Tahoma" w:hAnsi="Tahoma" w:cs="Tahoma"/>
          <w:sz w:val="24"/>
          <w:szCs w:val="24"/>
        </w:rPr>
        <w:t>how infrastructure developme</w:t>
      </w:r>
      <w:r w:rsidRPr="00132AF8">
        <w:rPr>
          <w:rFonts w:ascii="Tahoma" w:hAnsi="Tahoma" w:cs="Tahoma"/>
          <w:sz w:val="24"/>
          <w:szCs w:val="24"/>
        </w:rPr>
        <w:t>nt could support their future</w:t>
      </w:r>
      <w:r w:rsidR="005466FD" w:rsidRPr="00132AF8">
        <w:rPr>
          <w:rFonts w:ascii="Tahoma" w:hAnsi="Tahoma" w:cs="Tahoma"/>
          <w:sz w:val="24"/>
          <w:szCs w:val="24"/>
        </w:rPr>
        <w:t xml:space="preserve"> growth. </w:t>
      </w:r>
      <w:r w:rsidR="001F14FF" w:rsidRPr="00132AF8">
        <w:rPr>
          <w:rFonts w:ascii="Tahoma" w:hAnsi="Tahoma" w:cs="Tahoma"/>
          <w:sz w:val="24"/>
          <w:szCs w:val="24"/>
        </w:rPr>
        <w:t xml:space="preserve"> </w:t>
      </w:r>
      <w:r w:rsidR="00144195" w:rsidRPr="00132AF8">
        <w:rPr>
          <w:rFonts w:ascii="Tahoma" w:hAnsi="Tahoma" w:cs="Tahoma"/>
          <w:sz w:val="24"/>
          <w:szCs w:val="24"/>
        </w:rPr>
        <w:t xml:space="preserve">After the two main hubs </w:t>
      </w:r>
      <w:r w:rsidR="001903A9" w:rsidRPr="00132AF8">
        <w:rPr>
          <w:rFonts w:ascii="Tahoma" w:hAnsi="Tahoma" w:cs="Tahoma"/>
          <w:sz w:val="24"/>
          <w:szCs w:val="24"/>
        </w:rPr>
        <w:t xml:space="preserve">in the District </w:t>
      </w:r>
      <w:r w:rsidR="00013293" w:rsidRPr="00132AF8">
        <w:rPr>
          <w:rFonts w:ascii="Tahoma" w:hAnsi="Tahoma" w:cs="Tahoma"/>
          <w:sz w:val="24"/>
          <w:szCs w:val="24"/>
        </w:rPr>
        <w:t xml:space="preserve">(Newry &amp; Downpatrick) </w:t>
      </w:r>
      <w:proofErr w:type="spellStart"/>
      <w:r w:rsidR="00144195" w:rsidRPr="00132AF8">
        <w:rPr>
          <w:rFonts w:ascii="Tahoma" w:hAnsi="Tahoma" w:cs="Tahoma"/>
          <w:sz w:val="24"/>
          <w:szCs w:val="24"/>
        </w:rPr>
        <w:t>Kilke</w:t>
      </w:r>
      <w:r w:rsidR="00013293" w:rsidRPr="00132AF8">
        <w:rPr>
          <w:rFonts w:ascii="Tahoma" w:hAnsi="Tahoma" w:cs="Tahoma"/>
          <w:sz w:val="24"/>
          <w:szCs w:val="24"/>
        </w:rPr>
        <w:t>el</w:t>
      </w:r>
      <w:proofErr w:type="spellEnd"/>
      <w:r w:rsidR="00013293" w:rsidRPr="00132AF8">
        <w:rPr>
          <w:rFonts w:ascii="Tahoma" w:hAnsi="Tahoma" w:cs="Tahoma"/>
          <w:sz w:val="24"/>
          <w:szCs w:val="24"/>
        </w:rPr>
        <w:t xml:space="preserve"> and </w:t>
      </w:r>
      <w:proofErr w:type="spellStart"/>
      <w:r w:rsidR="00013293" w:rsidRPr="00132AF8">
        <w:rPr>
          <w:rFonts w:ascii="Tahoma" w:hAnsi="Tahoma" w:cs="Tahoma"/>
          <w:sz w:val="24"/>
          <w:szCs w:val="24"/>
        </w:rPr>
        <w:t>Warrenpoint</w:t>
      </w:r>
      <w:proofErr w:type="spellEnd"/>
      <w:r w:rsidR="00013293" w:rsidRPr="00132AF8">
        <w:rPr>
          <w:rFonts w:ascii="Tahoma" w:hAnsi="Tahoma" w:cs="Tahoma"/>
          <w:sz w:val="24"/>
          <w:szCs w:val="24"/>
        </w:rPr>
        <w:t xml:space="preserve"> have the next</w:t>
      </w:r>
      <w:r w:rsidR="00144195" w:rsidRPr="00132AF8">
        <w:rPr>
          <w:rFonts w:ascii="Tahoma" w:hAnsi="Tahoma" w:cs="Tahoma"/>
          <w:sz w:val="24"/>
          <w:szCs w:val="24"/>
        </w:rPr>
        <w:t xml:space="preserve"> largest</w:t>
      </w:r>
      <w:r w:rsidR="001903A9" w:rsidRPr="00132AF8">
        <w:rPr>
          <w:rFonts w:ascii="Tahoma" w:hAnsi="Tahoma" w:cs="Tahoma"/>
          <w:sz w:val="24"/>
          <w:szCs w:val="24"/>
        </w:rPr>
        <w:t xml:space="preserve"> allocation of employment land, 24.57 hectares and 16.94 hectares</w:t>
      </w:r>
      <w:r w:rsidR="00144195" w:rsidRPr="00132AF8">
        <w:rPr>
          <w:rFonts w:ascii="Tahoma" w:hAnsi="Tahoma" w:cs="Tahoma"/>
          <w:sz w:val="24"/>
          <w:szCs w:val="24"/>
        </w:rPr>
        <w:t xml:space="preserve"> </w:t>
      </w:r>
      <w:r w:rsidR="001903A9" w:rsidRPr="00132AF8">
        <w:rPr>
          <w:rFonts w:ascii="Tahoma" w:hAnsi="Tahoma" w:cs="Tahoma"/>
          <w:sz w:val="24"/>
          <w:szCs w:val="24"/>
        </w:rPr>
        <w:t>respectively (see Table 7).</w:t>
      </w:r>
      <w:r w:rsidR="00144195" w:rsidRPr="00132AF8">
        <w:rPr>
          <w:rFonts w:ascii="Tahoma" w:hAnsi="Tahoma" w:cs="Tahoma"/>
          <w:sz w:val="24"/>
          <w:szCs w:val="24"/>
        </w:rPr>
        <w:t xml:space="preserve"> </w:t>
      </w:r>
      <w:r w:rsidR="00013293" w:rsidRPr="00132AF8">
        <w:rPr>
          <w:rFonts w:ascii="Tahoma" w:hAnsi="Tahoma" w:cs="Tahoma"/>
          <w:sz w:val="24"/>
          <w:szCs w:val="24"/>
        </w:rPr>
        <w:t xml:space="preserve">The identification of these two locations </w:t>
      </w:r>
      <w:r w:rsidR="005466FD" w:rsidRPr="00132AF8">
        <w:rPr>
          <w:rFonts w:ascii="Tahoma" w:hAnsi="Tahoma" w:cs="Tahoma"/>
          <w:sz w:val="24"/>
          <w:szCs w:val="24"/>
        </w:rPr>
        <w:t xml:space="preserve">within this </w:t>
      </w:r>
      <w:r w:rsidR="001903A9" w:rsidRPr="00132AF8">
        <w:rPr>
          <w:rFonts w:ascii="Tahoma" w:hAnsi="Tahoma" w:cs="Tahoma"/>
          <w:sz w:val="24"/>
          <w:szCs w:val="24"/>
        </w:rPr>
        <w:t>section</w:t>
      </w:r>
      <w:r w:rsidR="00013293" w:rsidRPr="00132AF8">
        <w:rPr>
          <w:rFonts w:ascii="Tahoma" w:hAnsi="Tahoma" w:cs="Tahoma"/>
          <w:sz w:val="24"/>
          <w:szCs w:val="24"/>
        </w:rPr>
        <w:t xml:space="preserve"> is to further </w:t>
      </w:r>
      <w:r w:rsidR="00F9312B" w:rsidRPr="00132AF8">
        <w:rPr>
          <w:rFonts w:ascii="Tahoma" w:hAnsi="Tahoma" w:cs="Tahoma"/>
          <w:sz w:val="24"/>
          <w:szCs w:val="24"/>
        </w:rPr>
        <w:t xml:space="preserve">aid discussion on </w:t>
      </w:r>
      <w:r w:rsidR="00D476CB" w:rsidRPr="00132AF8">
        <w:rPr>
          <w:rFonts w:ascii="Tahoma" w:hAnsi="Tahoma" w:cs="Tahoma"/>
          <w:sz w:val="24"/>
          <w:szCs w:val="24"/>
        </w:rPr>
        <w:t>employment land provision across</w:t>
      </w:r>
      <w:r w:rsidR="00F9312B" w:rsidRPr="00132AF8">
        <w:rPr>
          <w:rFonts w:ascii="Tahoma" w:hAnsi="Tahoma" w:cs="Tahoma"/>
          <w:sz w:val="24"/>
          <w:szCs w:val="24"/>
        </w:rPr>
        <w:t xml:space="preserve"> the District. </w:t>
      </w:r>
      <w:r w:rsidR="005834E9" w:rsidRPr="00132AF8">
        <w:rPr>
          <w:rFonts w:ascii="Tahoma" w:hAnsi="Tahoma" w:cs="Tahoma"/>
          <w:sz w:val="24"/>
          <w:szCs w:val="24"/>
        </w:rPr>
        <w:t>Othe</w:t>
      </w:r>
      <w:r w:rsidR="00F9312B" w:rsidRPr="00132AF8">
        <w:rPr>
          <w:rFonts w:ascii="Tahoma" w:hAnsi="Tahoma" w:cs="Tahoma"/>
          <w:sz w:val="24"/>
          <w:szCs w:val="24"/>
        </w:rPr>
        <w:t xml:space="preserve">r areas of employment will be reviewed as part of the </w:t>
      </w:r>
      <w:r w:rsidRPr="00132AF8">
        <w:rPr>
          <w:rFonts w:ascii="Tahoma" w:hAnsi="Tahoma" w:cs="Tahoma"/>
          <w:sz w:val="24"/>
          <w:szCs w:val="24"/>
        </w:rPr>
        <w:t xml:space="preserve">LDP </w:t>
      </w:r>
      <w:r w:rsidR="00F9312B" w:rsidRPr="00132AF8">
        <w:rPr>
          <w:rFonts w:ascii="Tahoma" w:hAnsi="Tahoma" w:cs="Tahoma"/>
          <w:sz w:val="24"/>
          <w:szCs w:val="24"/>
        </w:rPr>
        <w:t>information gatheri</w:t>
      </w:r>
      <w:r w:rsidRPr="00132AF8">
        <w:rPr>
          <w:rFonts w:ascii="Tahoma" w:hAnsi="Tahoma" w:cs="Tahoma"/>
          <w:sz w:val="24"/>
          <w:szCs w:val="24"/>
        </w:rPr>
        <w:t>ng process</w:t>
      </w:r>
      <w:r w:rsidR="00F9312B" w:rsidRPr="00132AF8">
        <w:rPr>
          <w:rFonts w:ascii="Tahoma" w:hAnsi="Tahoma" w:cs="Tahoma"/>
          <w:sz w:val="24"/>
          <w:szCs w:val="24"/>
        </w:rPr>
        <w:t>.</w:t>
      </w:r>
    </w:p>
    <w:p w:rsidR="005A71B5" w:rsidRPr="00132AF8" w:rsidRDefault="005A71B5" w:rsidP="00FC76CD">
      <w:pPr>
        <w:autoSpaceDE w:val="0"/>
        <w:autoSpaceDN w:val="0"/>
        <w:adjustRightInd w:val="0"/>
        <w:spacing w:after="0" w:line="240" w:lineRule="auto"/>
        <w:jc w:val="both"/>
        <w:rPr>
          <w:rFonts w:ascii="Tahoma" w:hAnsi="Tahoma" w:cs="Tahoma"/>
          <w:b/>
          <w:sz w:val="28"/>
          <w:szCs w:val="28"/>
        </w:rPr>
      </w:pPr>
    </w:p>
    <w:p w:rsidR="005024D5" w:rsidRPr="00132AF8" w:rsidRDefault="00144195" w:rsidP="00FC76CD">
      <w:pPr>
        <w:autoSpaceDE w:val="0"/>
        <w:autoSpaceDN w:val="0"/>
        <w:adjustRightInd w:val="0"/>
        <w:spacing w:after="0" w:line="240" w:lineRule="auto"/>
        <w:jc w:val="both"/>
        <w:rPr>
          <w:rFonts w:ascii="Tahoma" w:hAnsi="Tahoma" w:cs="Tahoma"/>
          <w:b/>
          <w:sz w:val="24"/>
          <w:szCs w:val="24"/>
        </w:rPr>
      </w:pPr>
      <w:proofErr w:type="spellStart"/>
      <w:r w:rsidRPr="00132AF8">
        <w:rPr>
          <w:rFonts w:ascii="Tahoma" w:hAnsi="Tahoma" w:cs="Tahoma"/>
          <w:b/>
          <w:sz w:val="24"/>
          <w:szCs w:val="24"/>
        </w:rPr>
        <w:t>Kilkeel</w:t>
      </w:r>
      <w:proofErr w:type="spellEnd"/>
      <w:r w:rsidRPr="00132AF8">
        <w:rPr>
          <w:rFonts w:ascii="Tahoma" w:hAnsi="Tahoma" w:cs="Tahoma"/>
          <w:b/>
          <w:sz w:val="24"/>
          <w:szCs w:val="24"/>
        </w:rPr>
        <w:t xml:space="preserve"> Harbour</w:t>
      </w:r>
      <w:r w:rsidR="001A481F" w:rsidRPr="00132AF8">
        <w:rPr>
          <w:rFonts w:ascii="Tahoma" w:hAnsi="Tahoma" w:cs="Tahoma"/>
          <w:b/>
          <w:sz w:val="24"/>
          <w:szCs w:val="24"/>
        </w:rPr>
        <w:t xml:space="preserve"> </w:t>
      </w:r>
    </w:p>
    <w:p w:rsidR="001A481F" w:rsidRPr="00132AF8" w:rsidRDefault="001A481F" w:rsidP="00FC76CD">
      <w:pPr>
        <w:autoSpaceDE w:val="0"/>
        <w:autoSpaceDN w:val="0"/>
        <w:adjustRightInd w:val="0"/>
        <w:spacing w:after="0" w:line="240" w:lineRule="auto"/>
        <w:jc w:val="both"/>
        <w:rPr>
          <w:rFonts w:ascii="Tahoma" w:hAnsi="Tahoma" w:cs="Tahoma"/>
          <w:b/>
          <w:sz w:val="28"/>
          <w:szCs w:val="28"/>
        </w:rPr>
      </w:pPr>
    </w:p>
    <w:p w:rsidR="001A481F"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5.2</w:t>
      </w:r>
      <w:r w:rsidR="001A481F" w:rsidRPr="00132AF8">
        <w:rPr>
          <w:rFonts w:ascii="Tahoma" w:hAnsi="Tahoma" w:cs="Tahoma"/>
          <w:b/>
          <w:sz w:val="24"/>
          <w:szCs w:val="24"/>
        </w:rPr>
        <w:t xml:space="preserve"> </w:t>
      </w:r>
      <w:r w:rsidR="00866BF0">
        <w:rPr>
          <w:rFonts w:ascii="Tahoma" w:hAnsi="Tahoma" w:cs="Tahoma"/>
          <w:b/>
          <w:sz w:val="24"/>
          <w:szCs w:val="24"/>
        </w:rPr>
        <w:tab/>
      </w:r>
      <w:proofErr w:type="spellStart"/>
      <w:r w:rsidR="001A481F" w:rsidRPr="00132AF8">
        <w:rPr>
          <w:rFonts w:ascii="Tahoma" w:hAnsi="Tahoma" w:cs="Tahoma"/>
          <w:sz w:val="24"/>
          <w:szCs w:val="24"/>
        </w:rPr>
        <w:t>Kilkeel</w:t>
      </w:r>
      <w:proofErr w:type="spellEnd"/>
      <w:r w:rsidR="001A481F" w:rsidRPr="00132AF8">
        <w:rPr>
          <w:rFonts w:ascii="Tahoma" w:hAnsi="Tahoma" w:cs="Tahoma"/>
          <w:sz w:val="24"/>
          <w:szCs w:val="24"/>
        </w:rPr>
        <w:t xml:space="preserve"> is the largest fishing port in Northern Ireland</w:t>
      </w:r>
      <w:r w:rsidR="009D38AA" w:rsidRPr="00132AF8">
        <w:rPr>
          <w:rFonts w:ascii="Tahoma" w:hAnsi="Tahoma" w:cs="Tahoma"/>
          <w:sz w:val="24"/>
          <w:szCs w:val="24"/>
        </w:rPr>
        <w:t xml:space="preserve"> and </w:t>
      </w:r>
      <w:r w:rsidR="008479F6" w:rsidRPr="00132AF8">
        <w:rPr>
          <w:rFonts w:ascii="Tahoma" w:hAnsi="Tahoma" w:cs="Tahoma"/>
          <w:sz w:val="24"/>
          <w:szCs w:val="24"/>
        </w:rPr>
        <w:t xml:space="preserve">the fishing industry is an important </w:t>
      </w:r>
      <w:proofErr w:type="spellStart"/>
      <w:r w:rsidR="008479F6" w:rsidRPr="00132AF8">
        <w:rPr>
          <w:rFonts w:ascii="Tahoma" w:hAnsi="Tahoma" w:cs="Tahoma"/>
          <w:sz w:val="24"/>
          <w:szCs w:val="24"/>
        </w:rPr>
        <w:t>contributer</w:t>
      </w:r>
      <w:proofErr w:type="spellEnd"/>
      <w:r w:rsidR="008479F6" w:rsidRPr="00132AF8">
        <w:rPr>
          <w:rFonts w:ascii="Tahoma" w:hAnsi="Tahoma" w:cs="Tahoma"/>
          <w:sz w:val="24"/>
          <w:szCs w:val="24"/>
        </w:rPr>
        <w:t xml:space="preserve"> to the local economy (see paragraph 3.10). </w:t>
      </w:r>
      <w:r w:rsidR="009D38AA" w:rsidRPr="00132AF8">
        <w:rPr>
          <w:rFonts w:ascii="Tahoma" w:hAnsi="Tahoma" w:cs="Tahoma"/>
          <w:sz w:val="24"/>
          <w:szCs w:val="24"/>
        </w:rPr>
        <w:t>The fishing industry continues to face significant pressures and a number of studies</w:t>
      </w:r>
      <w:r w:rsidR="00C4206F" w:rsidRPr="00132AF8">
        <w:rPr>
          <w:rStyle w:val="FootnoteReference"/>
          <w:rFonts w:ascii="Tahoma" w:hAnsi="Tahoma" w:cs="Tahoma"/>
          <w:sz w:val="24"/>
          <w:szCs w:val="24"/>
        </w:rPr>
        <w:footnoteReference w:id="22"/>
      </w:r>
      <w:r w:rsidR="009D38AA" w:rsidRPr="00132AF8">
        <w:rPr>
          <w:rFonts w:ascii="Tahoma" w:hAnsi="Tahoma" w:cs="Tahoma"/>
          <w:sz w:val="24"/>
          <w:szCs w:val="24"/>
        </w:rPr>
        <w:t xml:space="preserve"> have suggested that the town look to develop a more sustainable economic base. </w:t>
      </w:r>
      <w:r w:rsidR="008479F6" w:rsidRPr="00132AF8">
        <w:rPr>
          <w:rFonts w:ascii="Tahoma" w:hAnsi="Tahoma" w:cs="Tahoma"/>
          <w:sz w:val="24"/>
          <w:szCs w:val="24"/>
        </w:rPr>
        <w:t xml:space="preserve">There has been recognition in recent years that the harbour </w:t>
      </w:r>
      <w:r w:rsidR="00C4206F" w:rsidRPr="00132AF8">
        <w:rPr>
          <w:rFonts w:ascii="Tahoma" w:hAnsi="Tahoma" w:cs="Tahoma"/>
          <w:sz w:val="24"/>
          <w:szCs w:val="24"/>
        </w:rPr>
        <w:t xml:space="preserve">area </w:t>
      </w:r>
      <w:r w:rsidR="008479F6" w:rsidRPr="00132AF8">
        <w:rPr>
          <w:rFonts w:ascii="Tahoma" w:hAnsi="Tahoma" w:cs="Tahoma"/>
          <w:sz w:val="24"/>
          <w:szCs w:val="24"/>
        </w:rPr>
        <w:t>is an important asset which has the potential, thr</w:t>
      </w:r>
      <w:r w:rsidR="00697DAE" w:rsidRPr="00132AF8">
        <w:rPr>
          <w:rFonts w:ascii="Tahoma" w:hAnsi="Tahoma" w:cs="Tahoma"/>
          <w:sz w:val="24"/>
          <w:szCs w:val="24"/>
        </w:rPr>
        <w:t xml:space="preserve">ough appropriate investment, to grow and expand existing business, </w:t>
      </w:r>
      <w:r w:rsidR="00C4206F" w:rsidRPr="00132AF8">
        <w:rPr>
          <w:rFonts w:ascii="Tahoma" w:hAnsi="Tahoma" w:cs="Tahoma"/>
          <w:sz w:val="24"/>
          <w:szCs w:val="24"/>
        </w:rPr>
        <w:t>become a key to</w:t>
      </w:r>
      <w:r w:rsidR="00697DAE" w:rsidRPr="00132AF8">
        <w:rPr>
          <w:rFonts w:ascii="Tahoma" w:hAnsi="Tahoma" w:cs="Tahoma"/>
          <w:sz w:val="24"/>
          <w:szCs w:val="24"/>
        </w:rPr>
        <w:t xml:space="preserve">urist destination, as well as a </w:t>
      </w:r>
      <w:r w:rsidR="00C4206F" w:rsidRPr="00132AF8">
        <w:rPr>
          <w:rFonts w:ascii="Tahoma" w:hAnsi="Tahoma" w:cs="Tahoma"/>
          <w:sz w:val="24"/>
          <w:szCs w:val="24"/>
        </w:rPr>
        <w:t xml:space="preserve">renewable energy </w:t>
      </w:r>
      <w:r w:rsidR="00697DAE" w:rsidRPr="00132AF8">
        <w:rPr>
          <w:rFonts w:ascii="Tahoma" w:hAnsi="Tahoma" w:cs="Tahoma"/>
          <w:sz w:val="24"/>
          <w:szCs w:val="24"/>
        </w:rPr>
        <w:t>and marine engineering</w:t>
      </w:r>
      <w:r w:rsidR="00C4206F" w:rsidRPr="00132AF8">
        <w:rPr>
          <w:rFonts w:ascii="Tahoma" w:hAnsi="Tahoma" w:cs="Tahoma"/>
          <w:sz w:val="24"/>
          <w:szCs w:val="24"/>
        </w:rPr>
        <w:t xml:space="preserve"> base.</w:t>
      </w:r>
    </w:p>
    <w:p w:rsidR="00F3632E" w:rsidRPr="00132AF8" w:rsidRDefault="00F3632E" w:rsidP="001D449A">
      <w:pPr>
        <w:autoSpaceDE w:val="0"/>
        <w:autoSpaceDN w:val="0"/>
        <w:adjustRightInd w:val="0"/>
        <w:spacing w:after="0" w:line="240" w:lineRule="auto"/>
        <w:rPr>
          <w:rFonts w:ascii="Tahoma" w:hAnsi="Tahoma" w:cs="Tahoma"/>
          <w:sz w:val="24"/>
          <w:szCs w:val="24"/>
        </w:rPr>
      </w:pPr>
    </w:p>
    <w:p w:rsidR="00E477FB"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5.3</w:t>
      </w:r>
      <w:r w:rsidR="00864AE4" w:rsidRPr="00132AF8">
        <w:rPr>
          <w:rFonts w:ascii="Tahoma" w:hAnsi="Tahoma" w:cs="Tahoma"/>
          <w:sz w:val="24"/>
          <w:szCs w:val="24"/>
        </w:rPr>
        <w:t xml:space="preserve"> </w:t>
      </w:r>
      <w:r w:rsidR="00866BF0">
        <w:rPr>
          <w:rFonts w:ascii="Tahoma" w:hAnsi="Tahoma" w:cs="Tahoma"/>
          <w:sz w:val="24"/>
          <w:szCs w:val="24"/>
        </w:rPr>
        <w:tab/>
      </w:r>
      <w:r w:rsidR="008479F6" w:rsidRPr="00132AF8">
        <w:rPr>
          <w:rFonts w:ascii="Tahoma" w:hAnsi="Tahoma" w:cs="Tahoma"/>
          <w:sz w:val="24"/>
          <w:szCs w:val="24"/>
        </w:rPr>
        <w:t xml:space="preserve">The Sustainable </w:t>
      </w:r>
      <w:proofErr w:type="spellStart"/>
      <w:r w:rsidR="008479F6" w:rsidRPr="00132AF8">
        <w:rPr>
          <w:rFonts w:ascii="Tahoma" w:hAnsi="Tahoma" w:cs="Tahoma"/>
          <w:sz w:val="24"/>
          <w:szCs w:val="24"/>
        </w:rPr>
        <w:t>Kilkeel</w:t>
      </w:r>
      <w:proofErr w:type="spellEnd"/>
      <w:r w:rsidR="008479F6" w:rsidRPr="00132AF8">
        <w:rPr>
          <w:rFonts w:ascii="Tahoma" w:hAnsi="Tahoma" w:cs="Tahoma"/>
          <w:sz w:val="24"/>
          <w:szCs w:val="24"/>
        </w:rPr>
        <w:t xml:space="preserve"> 2020 study </w:t>
      </w:r>
      <w:r w:rsidR="00217569" w:rsidRPr="00132AF8">
        <w:rPr>
          <w:rFonts w:ascii="Tahoma" w:hAnsi="Tahoma" w:cs="Tahoma"/>
          <w:sz w:val="24"/>
          <w:szCs w:val="24"/>
        </w:rPr>
        <w:t xml:space="preserve">in particular </w:t>
      </w:r>
      <w:r w:rsidR="008479F6" w:rsidRPr="00132AF8">
        <w:rPr>
          <w:rFonts w:ascii="Tahoma" w:hAnsi="Tahoma" w:cs="Tahoma"/>
          <w:sz w:val="24"/>
          <w:szCs w:val="24"/>
        </w:rPr>
        <w:t xml:space="preserve">highlighted the potential </w:t>
      </w:r>
      <w:r w:rsidR="00212C3A" w:rsidRPr="00132AF8">
        <w:rPr>
          <w:rFonts w:ascii="Tahoma" w:hAnsi="Tahoma" w:cs="Tahoma"/>
          <w:sz w:val="24"/>
          <w:szCs w:val="24"/>
        </w:rPr>
        <w:t>of t</w:t>
      </w:r>
      <w:r w:rsidR="008479F6" w:rsidRPr="00132AF8">
        <w:rPr>
          <w:rFonts w:ascii="Tahoma" w:hAnsi="Tahoma" w:cs="Tahoma"/>
          <w:sz w:val="24"/>
          <w:szCs w:val="24"/>
        </w:rPr>
        <w:t xml:space="preserve">he renewable energy sector </w:t>
      </w:r>
      <w:r w:rsidR="00212C3A" w:rsidRPr="00132AF8">
        <w:rPr>
          <w:rFonts w:ascii="Tahoma" w:hAnsi="Tahoma" w:cs="Tahoma"/>
          <w:sz w:val="24"/>
          <w:szCs w:val="24"/>
        </w:rPr>
        <w:t>and tourism in contributing to local economic growth. The study suggested that a leisure marina and off-shore supply and service yard could support the fishing, off-shore ener</w:t>
      </w:r>
      <w:r w:rsidR="00217569" w:rsidRPr="00132AF8">
        <w:rPr>
          <w:rFonts w:ascii="Tahoma" w:hAnsi="Tahoma" w:cs="Tahoma"/>
          <w:sz w:val="24"/>
          <w:szCs w:val="24"/>
        </w:rPr>
        <w:t xml:space="preserve">gy and marine tourism sectors. Whilst </w:t>
      </w:r>
      <w:r w:rsidR="00FE4F6C" w:rsidRPr="00132AF8">
        <w:rPr>
          <w:rFonts w:ascii="Tahoma" w:hAnsi="Tahoma" w:cs="Tahoma"/>
          <w:sz w:val="24"/>
          <w:szCs w:val="24"/>
        </w:rPr>
        <w:t xml:space="preserve">a </w:t>
      </w:r>
      <w:r w:rsidR="00212C3A" w:rsidRPr="00132AF8">
        <w:rPr>
          <w:rFonts w:ascii="Tahoma" w:hAnsi="Tahoma" w:cs="Tahoma"/>
          <w:sz w:val="24"/>
          <w:szCs w:val="24"/>
        </w:rPr>
        <w:t xml:space="preserve">proposal for </w:t>
      </w:r>
      <w:r w:rsidR="00217569" w:rsidRPr="00132AF8">
        <w:rPr>
          <w:rFonts w:ascii="Tahoma" w:hAnsi="Tahoma" w:cs="Tahoma"/>
          <w:sz w:val="24"/>
          <w:szCs w:val="24"/>
        </w:rPr>
        <w:t>120 wind turbines of the east coast was withdrawn in December 2014 Northern Ireland continues to be seen as a location with “superb offshore wind potential”</w:t>
      </w:r>
      <w:r w:rsidR="00217569" w:rsidRPr="00132AF8">
        <w:rPr>
          <w:rStyle w:val="FootnoteReference"/>
          <w:rFonts w:ascii="Tahoma" w:hAnsi="Tahoma" w:cs="Tahoma"/>
          <w:sz w:val="24"/>
          <w:szCs w:val="24"/>
        </w:rPr>
        <w:footnoteReference w:id="23"/>
      </w:r>
      <w:r w:rsidR="005013E6" w:rsidRPr="00132AF8">
        <w:rPr>
          <w:rFonts w:ascii="Tahoma" w:hAnsi="Tahoma" w:cs="Tahoma"/>
          <w:sz w:val="24"/>
          <w:szCs w:val="24"/>
        </w:rPr>
        <w:t>.</w:t>
      </w:r>
      <w:r w:rsidR="00305D1B" w:rsidRPr="00132AF8">
        <w:rPr>
          <w:rFonts w:ascii="Tahoma" w:hAnsi="Tahoma" w:cs="Tahoma"/>
          <w:sz w:val="24"/>
          <w:szCs w:val="24"/>
        </w:rPr>
        <w:t xml:space="preserve"> </w:t>
      </w:r>
      <w:proofErr w:type="spellStart"/>
      <w:r w:rsidR="0087707A" w:rsidRPr="00132AF8">
        <w:rPr>
          <w:rFonts w:ascii="Tahoma" w:hAnsi="Tahoma" w:cs="Tahoma"/>
          <w:sz w:val="24"/>
          <w:szCs w:val="24"/>
        </w:rPr>
        <w:t>Kilkeel’s</w:t>
      </w:r>
      <w:proofErr w:type="spellEnd"/>
      <w:r w:rsidR="0087707A" w:rsidRPr="00132AF8">
        <w:rPr>
          <w:rFonts w:ascii="Tahoma" w:hAnsi="Tahoma" w:cs="Tahoma"/>
          <w:sz w:val="24"/>
          <w:szCs w:val="24"/>
        </w:rPr>
        <w:t xml:space="preserve"> geographical location </w:t>
      </w:r>
      <w:r w:rsidR="005013E6" w:rsidRPr="00132AF8">
        <w:rPr>
          <w:rFonts w:ascii="Tahoma" w:hAnsi="Tahoma" w:cs="Tahoma"/>
          <w:sz w:val="24"/>
          <w:szCs w:val="24"/>
        </w:rPr>
        <w:t>may offer it a competitive</w:t>
      </w:r>
      <w:r w:rsidR="00E477FB" w:rsidRPr="00132AF8">
        <w:rPr>
          <w:rFonts w:ascii="Tahoma" w:hAnsi="Tahoma" w:cs="Tahoma"/>
          <w:sz w:val="24"/>
          <w:szCs w:val="24"/>
        </w:rPr>
        <w:t xml:space="preserve"> advantage should </w:t>
      </w:r>
      <w:r w:rsidR="005013E6" w:rsidRPr="00132AF8">
        <w:rPr>
          <w:rFonts w:ascii="Tahoma" w:hAnsi="Tahoma" w:cs="Tahoma"/>
          <w:sz w:val="24"/>
          <w:szCs w:val="24"/>
        </w:rPr>
        <w:t xml:space="preserve">off-shore renewable energy </w:t>
      </w:r>
      <w:r w:rsidR="00E477FB" w:rsidRPr="00132AF8">
        <w:rPr>
          <w:rFonts w:ascii="Tahoma" w:hAnsi="Tahoma" w:cs="Tahoma"/>
          <w:sz w:val="24"/>
          <w:szCs w:val="24"/>
        </w:rPr>
        <w:t xml:space="preserve">proposals for the Irish Sea be brought forward again. </w:t>
      </w:r>
      <w:r w:rsidR="00697DAE" w:rsidRPr="00132AF8">
        <w:rPr>
          <w:rFonts w:ascii="Tahoma" w:hAnsi="Tahoma" w:cs="Tahoma"/>
          <w:sz w:val="24"/>
          <w:szCs w:val="24"/>
        </w:rPr>
        <w:t xml:space="preserve">The </w:t>
      </w:r>
      <w:r w:rsidR="00E477FB" w:rsidRPr="00132AF8">
        <w:rPr>
          <w:rFonts w:ascii="Tahoma" w:hAnsi="Tahoma" w:cs="Tahoma"/>
          <w:sz w:val="24"/>
          <w:szCs w:val="24"/>
        </w:rPr>
        <w:t xml:space="preserve">local development association, </w:t>
      </w:r>
      <w:proofErr w:type="spellStart"/>
      <w:r w:rsidR="00697DAE" w:rsidRPr="00132AF8">
        <w:rPr>
          <w:rFonts w:ascii="Tahoma" w:hAnsi="Tahoma" w:cs="Tahoma"/>
          <w:sz w:val="24"/>
          <w:szCs w:val="24"/>
        </w:rPr>
        <w:t>Kilkeel</w:t>
      </w:r>
      <w:proofErr w:type="spellEnd"/>
      <w:r w:rsidR="00697DAE" w:rsidRPr="00132AF8">
        <w:rPr>
          <w:rFonts w:ascii="Tahoma" w:hAnsi="Tahoma" w:cs="Tahoma"/>
          <w:sz w:val="24"/>
          <w:szCs w:val="24"/>
        </w:rPr>
        <w:t xml:space="preserve"> Strategic Partnership</w:t>
      </w:r>
      <w:r w:rsidR="00E477FB" w:rsidRPr="00132AF8">
        <w:rPr>
          <w:rFonts w:ascii="Tahoma" w:hAnsi="Tahoma" w:cs="Tahoma"/>
          <w:sz w:val="24"/>
          <w:szCs w:val="24"/>
        </w:rPr>
        <w:t>, are now considering</w:t>
      </w:r>
      <w:r w:rsidR="00B328D6" w:rsidRPr="00132AF8">
        <w:rPr>
          <w:rFonts w:ascii="Tahoma" w:hAnsi="Tahoma" w:cs="Tahoma"/>
          <w:sz w:val="24"/>
          <w:szCs w:val="24"/>
        </w:rPr>
        <w:t xml:space="preserve"> design options for the </w:t>
      </w:r>
      <w:r w:rsidR="00E477FB" w:rsidRPr="00132AF8">
        <w:rPr>
          <w:rFonts w:ascii="Tahoma" w:hAnsi="Tahoma" w:cs="Tahoma"/>
          <w:sz w:val="24"/>
          <w:szCs w:val="24"/>
        </w:rPr>
        <w:t>harbour that would</w:t>
      </w:r>
      <w:r w:rsidR="00697DAE" w:rsidRPr="00132AF8">
        <w:rPr>
          <w:rFonts w:ascii="Tahoma" w:hAnsi="Tahoma" w:cs="Tahoma"/>
          <w:sz w:val="24"/>
          <w:szCs w:val="24"/>
        </w:rPr>
        <w:t xml:space="preserve"> enable it to accommodate larger fishing vessels and </w:t>
      </w:r>
      <w:r w:rsidR="00B328D6" w:rsidRPr="00132AF8">
        <w:rPr>
          <w:rFonts w:ascii="Tahoma" w:hAnsi="Tahoma" w:cs="Tahoma"/>
          <w:sz w:val="24"/>
          <w:szCs w:val="24"/>
        </w:rPr>
        <w:t xml:space="preserve">to </w:t>
      </w:r>
      <w:r w:rsidR="00697DAE" w:rsidRPr="00132AF8">
        <w:rPr>
          <w:rFonts w:ascii="Tahoma" w:hAnsi="Tahoma" w:cs="Tahoma"/>
          <w:sz w:val="24"/>
          <w:szCs w:val="24"/>
        </w:rPr>
        <w:t>e</w:t>
      </w:r>
      <w:r w:rsidR="00B328D6" w:rsidRPr="00132AF8">
        <w:rPr>
          <w:rFonts w:ascii="Tahoma" w:hAnsi="Tahoma" w:cs="Tahoma"/>
          <w:sz w:val="24"/>
          <w:szCs w:val="24"/>
        </w:rPr>
        <w:t xml:space="preserve">xpand on its marine engineering business. </w:t>
      </w:r>
    </w:p>
    <w:p w:rsidR="00745CEE" w:rsidRPr="00132AF8" w:rsidRDefault="00745CEE" w:rsidP="00FC76CD">
      <w:pPr>
        <w:autoSpaceDE w:val="0"/>
        <w:autoSpaceDN w:val="0"/>
        <w:adjustRightInd w:val="0"/>
        <w:spacing w:after="0" w:line="240" w:lineRule="auto"/>
        <w:jc w:val="both"/>
        <w:rPr>
          <w:rFonts w:ascii="Tahoma" w:hAnsi="Tahoma" w:cs="Tahoma"/>
          <w:sz w:val="24"/>
          <w:szCs w:val="24"/>
        </w:rPr>
      </w:pPr>
    </w:p>
    <w:p w:rsidR="00745CEE"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5.4</w:t>
      </w:r>
      <w:r w:rsidR="00745CEE" w:rsidRPr="00132AF8">
        <w:rPr>
          <w:rFonts w:ascii="Tahoma" w:hAnsi="Tahoma" w:cs="Tahoma"/>
          <w:sz w:val="24"/>
          <w:szCs w:val="24"/>
        </w:rPr>
        <w:t xml:space="preserve"> </w:t>
      </w:r>
      <w:r w:rsidR="00866BF0">
        <w:rPr>
          <w:rFonts w:ascii="Tahoma" w:hAnsi="Tahoma" w:cs="Tahoma"/>
          <w:sz w:val="24"/>
          <w:szCs w:val="24"/>
        </w:rPr>
        <w:tab/>
      </w:r>
      <w:r w:rsidR="00745CEE" w:rsidRPr="00132AF8">
        <w:rPr>
          <w:rFonts w:ascii="Tahoma" w:hAnsi="Tahoma" w:cs="Tahoma"/>
          <w:sz w:val="24"/>
          <w:szCs w:val="24"/>
        </w:rPr>
        <w:t xml:space="preserve">Road infrastructure plays a critical role in </w:t>
      </w:r>
      <w:r w:rsidR="000C4A16" w:rsidRPr="00132AF8">
        <w:rPr>
          <w:rFonts w:ascii="Tahoma" w:hAnsi="Tahoma" w:cs="Tahoma"/>
          <w:sz w:val="24"/>
          <w:szCs w:val="24"/>
        </w:rPr>
        <w:t xml:space="preserve">any </w:t>
      </w:r>
      <w:r w:rsidR="00482EB1" w:rsidRPr="00132AF8">
        <w:rPr>
          <w:rFonts w:ascii="Tahoma" w:hAnsi="Tahoma" w:cs="Tahoma"/>
          <w:sz w:val="24"/>
          <w:szCs w:val="24"/>
        </w:rPr>
        <w:t>land use proposals</w:t>
      </w:r>
      <w:r w:rsidR="004046E2" w:rsidRPr="00132AF8">
        <w:rPr>
          <w:rFonts w:ascii="Tahoma" w:hAnsi="Tahoma" w:cs="Tahoma"/>
          <w:sz w:val="24"/>
          <w:szCs w:val="24"/>
        </w:rPr>
        <w:t>. C</w:t>
      </w:r>
      <w:r w:rsidR="00745CEE" w:rsidRPr="00132AF8">
        <w:rPr>
          <w:rFonts w:ascii="Tahoma" w:hAnsi="Tahoma" w:cs="Tahoma"/>
          <w:sz w:val="24"/>
          <w:szCs w:val="24"/>
        </w:rPr>
        <w:t>urrently the harbour area is accessed via Harbour Road with adjoining economic development l</w:t>
      </w:r>
      <w:r w:rsidR="00C83EE0">
        <w:rPr>
          <w:rFonts w:ascii="Tahoma" w:hAnsi="Tahoma" w:cs="Tahoma"/>
          <w:sz w:val="24"/>
          <w:szCs w:val="24"/>
        </w:rPr>
        <w:t>and serviced by Moor Road. The d</w:t>
      </w:r>
      <w:r w:rsidR="00745CEE" w:rsidRPr="00132AF8">
        <w:rPr>
          <w:rFonts w:ascii="Tahoma" w:hAnsi="Tahoma" w:cs="Tahoma"/>
          <w:sz w:val="24"/>
          <w:szCs w:val="24"/>
        </w:rPr>
        <w:t>raft BNMAP contained proposals for a developer led link road betw</w:t>
      </w:r>
      <w:r w:rsidR="000C4A16" w:rsidRPr="00132AF8">
        <w:rPr>
          <w:rFonts w:ascii="Tahoma" w:hAnsi="Tahoma" w:cs="Tahoma"/>
          <w:sz w:val="24"/>
          <w:szCs w:val="24"/>
        </w:rPr>
        <w:t xml:space="preserve">een the Harbour and Moor </w:t>
      </w:r>
      <w:proofErr w:type="gramStart"/>
      <w:r w:rsidR="000C4A16" w:rsidRPr="00132AF8">
        <w:rPr>
          <w:rFonts w:ascii="Tahoma" w:hAnsi="Tahoma" w:cs="Tahoma"/>
          <w:sz w:val="24"/>
          <w:szCs w:val="24"/>
        </w:rPr>
        <w:t>Road,</w:t>
      </w:r>
      <w:proofErr w:type="gramEnd"/>
      <w:r w:rsidR="000C4A16" w:rsidRPr="00132AF8">
        <w:rPr>
          <w:rFonts w:ascii="Tahoma" w:hAnsi="Tahoma" w:cs="Tahoma"/>
          <w:sz w:val="24"/>
          <w:szCs w:val="24"/>
        </w:rPr>
        <w:t xml:space="preserve"> these</w:t>
      </w:r>
      <w:r w:rsidR="00745CEE" w:rsidRPr="00132AF8">
        <w:rPr>
          <w:rFonts w:ascii="Tahoma" w:hAnsi="Tahoma" w:cs="Tahoma"/>
          <w:sz w:val="24"/>
          <w:szCs w:val="24"/>
        </w:rPr>
        <w:t xml:space="preserve"> were su</w:t>
      </w:r>
      <w:r w:rsidR="000C4A16" w:rsidRPr="00132AF8">
        <w:rPr>
          <w:rFonts w:ascii="Tahoma" w:hAnsi="Tahoma" w:cs="Tahoma"/>
          <w:sz w:val="24"/>
          <w:szCs w:val="24"/>
        </w:rPr>
        <w:t>bsequently dropped following consideration at the</w:t>
      </w:r>
      <w:r w:rsidR="00745CEE" w:rsidRPr="00132AF8">
        <w:rPr>
          <w:rFonts w:ascii="Tahoma" w:hAnsi="Tahoma" w:cs="Tahoma"/>
          <w:sz w:val="24"/>
          <w:szCs w:val="24"/>
        </w:rPr>
        <w:t xml:space="preserve"> public examination</w:t>
      </w:r>
      <w:r w:rsidR="000C4A16" w:rsidRPr="00132AF8">
        <w:rPr>
          <w:rFonts w:ascii="Tahoma" w:hAnsi="Tahoma" w:cs="Tahoma"/>
          <w:sz w:val="24"/>
          <w:szCs w:val="24"/>
        </w:rPr>
        <w:t xml:space="preserve">. Future infrastructure requirements for the harbour area and associated economic development lands will </w:t>
      </w:r>
      <w:proofErr w:type="gramStart"/>
      <w:r w:rsidR="000C4A16" w:rsidRPr="00132AF8">
        <w:rPr>
          <w:rFonts w:ascii="Tahoma" w:hAnsi="Tahoma" w:cs="Tahoma"/>
          <w:sz w:val="24"/>
          <w:szCs w:val="24"/>
        </w:rPr>
        <w:t>reviewed</w:t>
      </w:r>
      <w:proofErr w:type="gramEnd"/>
      <w:r w:rsidR="000C4A16" w:rsidRPr="00132AF8">
        <w:rPr>
          <w:rFonts w:ascii="Tahoma" w:hAnsi="Tahoma" w:cs="Tahoma"/>
          <w:sz w:val="24"/>
          <w:szCs w:val="24"/>
        </w:rPr>
        <w:t xml:space="preserve"> as part of the LDP process.</w:t>
      </w:r>
    </w:p>
    <w:p w:rsidR="00E477FB" w:rsidRPr="00132AF8" w:rsidRDefault="00E477FB" w:rsidP="001D449A">
      <w:pPr>
        <w:autoSpaceDE w:val="0"/>
        <w:autoSpaceDN w:val="0"/>
        <w:adjustRightInd w:val="0"/>
        <w:spacing w:after="0" w:line="240" w:lineRule="auto"/>
        <w:rPr>
          <w:rFonts w:ascii="Tahoma" w:hAnsi="Tahoma" w:cs="Tahoma"/>
          <w:sz w:val="24"/>
          <w:szCs w:val="24"/>
        </w:rPr>
      </w:pPr>
    </w:p>
    <w:p w:rsidR="0087707A"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5.5</w:t>
      </w:r>
      <w:r w:rsidR="00E477FB" w:rsidRPr="00132AF8">
        <w:rPr>
          <w:rFonts w:ascii="Tahoma" w:hAnsi="Tahoma" w:cs="Tahoma"/>
          <w:sz w:val="24"/>
          <w:szCs w:val="24"/>
        </w:rPr>
        <w:t xml:space="preserve"> </w:t>
      </w:r>
      <w:r w:rsidR="00866BF0">
        <w:rPr>
          <w:rFonts w:ascii="Tahoma" w:hAnsi="Tahoma" w:cs="Tahoma"/>
          <w:sz w:val="24"/>
          <w:szCs w:val="24"/>
        </w:rPr>
        <w:tab/>
      </w:r>
      <w:proofErr w:type="spellStart"/>
      <w:r w:rsidR="0087707A" w:rsidRPr="00132AF8">
        <w:rPr>
          <w:rFonts w:ascii="Tahoma" w:hAnsi="Tahoma" w:cs="Tahoma"/>
          <w:sz w:val="24"/>
          <w:szCs w:val="24"/>
        </w:rPr>
        <w:t>Seascope</w:t>
      </w:r>
      <w:proofErr w:type="spellEnd"/>
      <w:r w:rsidR="0087707A" w:rsidRPr="00132AF8">
        <w:rPr>
          <w:rFonts w:ascii="Tahoma" w:hAnsi="Tahoma" w:cs="Tahoma"/>
          <w:sz w:val="24"/>
          <w:szCs w:val="24"/>
        </w:rPr>
        <w:t xml:space="preserve">, </w:t>
      </w:r>
      <w:r w:rsidR="00B328D6" w:rsidRPr="00132AF8">
        <w:rPr>
          <w:rFonts w:ascii="Tahoma" w:hAnsi="Tahoma" w:cs="Tahoma"/>
          <w:sz w:val="24"/>
          <w:szCs w:val="24"/>
        </w:rPr>
        <w:t xml:space="preserve">Northern Ireland’s first Lobster Hatchery </w:t>
      </w:r>
      <w:r w:rsidR="0087707A" w:rsidRPr="00132AF8">
        <w:rPr>
          <w:rFonts w:ascii="Tahoma" w:hAnsi="Tahoma" w:cs="Tahoma"/>
          <w:sz w:val="24"/>
          <w:szCs w:val="24"/>
        </w:rPr>
        <w:t xml:space="preserve">Visitor Experience </w:t>
      </w:r>
      <w:r w:rsidR="00B328D6" w:rsidRPr="00132AF8">
        <w:rPr>
          <w:rFonts w:ascii="Tahoma" w:hAnsi="Tahoma" w:cs="Tahoma"/>
          <w:sz w:val="24"/>
          <w:szCs w:val="24"/>
        </w:rPr>
        <w:t>and Marine Res</w:t>
      </w:r>
      <w:r w:rsidR="0087707A" w:rsidRPr="00132AF8">
        <w:rPr>
          <w:rFonts w:ascii="Tahoma" w:hAnsi="Tahoma" w:cs="Tahoma"/>
          <w:sz w:val="24"/>
          <w:szCs w:val="24"/>
        </w:rPr>
        <w:t xml:space="preserve">earch Centre has recently opened in </w:t>
      </w:r>
      <w:proofErr w:type="spellStart"/>
      <w:r w:rsidR="0087707A" w:rsidRPr="00132AF8">
        <w:rPr>
          <w:rFonts w:ascii="Tahoma" w:hAnsi="Tahoma" w:cs="Tahoma"/>
          <w:sz w:val="24"/>
          <w:szCs w:val="24"/>
        </w:rPr>
        <w:t>Binni</w:t>
      </w:r>
      <w:r w:rsidR="00B328D6" w:rsidRPr="00132AF8">
        <w:rPr>
          <w:rFonts w:ascii="Tahoma" w:hAnsi="Tahoma" w:cs="Tahoma"/>
          <w:sz w:val="24"/>
          <w:szCs w:val="24"/>
        </w:rPr>
        <w:t>an</w:t>
      </w:r>
      <w:proofErr w:type="spellEnd"/>
      <w:r w:rsidR="00B328D6" w:rsidRPr="00132AF8">
        <w:rPr>
          <w:rFonts w:ascii="Tahoma" w:hAnsi="Tahoma" w:cs="Tahoma"/>
          <w:sz w:val="24"/>
          <w:szCs w:val="24"/>
        </w:rPr>
        <w:t xml:space="preserve"> Enterprise Park</w:t>
      </w:r>
      <w:r w:rsidR="000C4A16" w:rsidRPr="00132AF8">
        <w:rPr>
          <w:rFonts w:ascii="Tahoma" w:hAnsi="Tahoma" w:cs="Tahoma"/>
          <w:sz w:val="24"/>
          <w:szCs w:val="24"/>
        </w:rPr>
        <w:t xml:space="preserve"> and is an </w:t>
      </w:r>
      <w:r w:rsidR="000C4A16" w:rsidRPr="00132AF8">
        <w:rPr>
          <w:rFonts w:ascii="Tahoma" w:hAnsi="Tahoma" w:cs="Tahoma"/>
          <w:sz w:val="24"/>
          <w:szCs w:val="24"/>
        </w:rPr>
        <w:lastRenderedPageBreak/>
        <w:t>examp</w:t>
      </w:r>
      <w:r w:rsidR="00305D1B" w:rsidRPr="00132AF8">
        <w:rPr>
          <w:rFonts w:ascii="Tahoma" w:hAnsi="Tahoma" w:cs="Tahoma"/>
          <w:sz w:val="24"/>
          <w:szCs w:val="24"/>
        </w:rPr>
        <w:t xml:space="preserve">le of how the town is developing its tourism offer and research base through a focus on its strengths. </w:t>
      </w:r>
      <w:r w:rsidR="000C4A16" w:rsidRPr="00132AF8">
        <w:rPr>
          <w:rFonts w:ascii="Tahoma" w:hAnsi="Tahoma" w:cs="Tahoma"/>
          <w:sz w:val="24"/>
          <w:szCs w:val="24"/>
        </w:rPr>
        <w:t>The development of tourism assets was also identified within t</w:t>
      </w:r>
      <w:r w:rsidR="0087707A" w:rsidRPr="00132AF8">
        <w:rPr>
          <w:rFonts w:ascii="Tahoma" w:hAnsi="Tahoma" w:cs="Tahoma"/>
          <w:sz w:val="24"/>
          <w:szCs w:val="24"/>
        </w:rPr>
        <w:t xml:space="preserve">he South East Coast </w:t>
      </w:r>
      <w:proofErr w:type="spellStart"/>
      <w:r w:rsidR="0087707A" w:rsidRPr="00132AF8">
        <w:rPr>
          <w:rFonts w:ascii="Tahoma" w:hAnsi="Tahoma" w:cs="Tahoma"/>
          <w:sz w:val="24"/>
          <w:szCs w:val="24"/>
        </w:rPr>
        <w:t>Masterplan</w:t>
      </w:r>
      <w:proofErr w:type="spellEnd"/>
      <w:r w:rsidR="000C4A16" w:rsidRPr="00132AF8">
        <w:rPr>
          <w:rFonts w:ascii="Tahoma" w:hAnsi="Tahoma" w:cs="Tahoma"/>
          <w:sz w:val="24"/>
          <w:szCs w:val="24"/>
        </w:rPr>
        <w:t xml:space="preserve">. </w:t>
      </w:r>
      <w:r w:rsidR="00E477FB" w:rsidRPr="00132AF8">
        <w:rPr>
          <w:rFonts w:ascii="Tahoma" w:hAnsi="Tahoma" w:cs="Tahoma"/>
          <w:sz w:val="24"/>
          <w:szCs w:val="24"/>
        </w:rPr>
        <w:t xml:space="preserve">The Plan </w:t>
      </w:r>
      <w:r w:rsidR="0087707A" w:rsidRPr="00132AF8">
        <w:rPr>
          <w:rFonts w:ascii="Tahoma" w:hAnsi="Tahoma" w:cs="Tahoma"/>
          <w:sz w:val="24"/>
          <w:szCs w:val="24"/>
        </w:rPr>
        <w:t>proposes that a riverside park and wa</w:t>
      </w:r>
      <w:r w:rsidR="00745CEE" w:rsidRPr="00132AF8">
        <w:rPr>
          <w:rFonts w:ascii="Tahoma" w:hAnsi="Tahoma" w:cs="Tahoma"/>
          <w:sz w:val="24"/>
          <w:szCs w:val="24"/>
        </w:rPr>
        <w:t xml:space="preserve">lkway be developed, </w:t>
      </w:r>
      <w:r w:rsidR="0087707A" w:rsidRPr="00132AF8">
        <w:rPr>
          <w:rFonts w:ascii="Tahoma" w:hAnsi="Tahoma" w:cs="Tahoma"/>
          <w:sz w:val="24"/>
          <w:szCs w:val="24"/>
        </w:rPr>
        <w:t>stretch</w:t>
      </w:r>
      <w:r w:rsidR="00745CEE" w:rsidRPr="00132AF8">
        <w:rPr>
          <w:rFonts w:ascii="Tahoma" w:hAnsi="Tahoma" w:cs="Tahoma"/>
          <w:sz w:val="24"/>
          <w:szCs w:val="24"/>
        </w:rPr>
        <w:t>ing</w:t>
      </w:r>
      <w:r w:rsidR="0087707A" w:rsidRPr="00132AF8">
        <w:rPr>
          <w:rFonts w:ascii="Tahoma" w:hAnsi="Tahoma" w:cs="Tahoma"/>
          <w:sz w:val="24"/>
          <w:szCs w:val="24"/>
        </w:rPr>
        <w:t xml:space="preserve"> from the town centre to the harbour</w:t>
      </w:r>
      <w:r w:rsidR="00745CEE" w:rsidRPr="00132AF8">
        <w:rPr>
          <w:rFonts w:ascii="Tahoma" w:hAnsi="Tahoma" w:cs="Tahoma"/>
          <w:sz w:val="24"/>
          <w:szCs w:val="24"/>
        </w:rPr>
        <w:t xml:space="preserve">. This </w:t>
      </w:r>
      <w:r w:rsidR="0087707A" w:rsidRPr="00132AF8">
        <w:rPr>
          <w:rFonts w:ascii="Tahoma" w:hAnsi="Tahoma" w:cs="Tahoma"/>
          <w:sz w:val="24"/>
          <w:szCs w:val="24"/>
        </w:rPr>
        <w:t xml:space="preserve">would provide a high quality park and pedestrian link encouraging movement between the harbour and the town centre. Within the BNMAP 2015 the river corridor is designated a Local Landscape Policy Area and the adjoining mixed use land zoning requires any development proposal to take account of the river corridor. A key site requirement is the provision of a cycle and footpath along the river frontage along with </w:t>
      </w:r>
      <w:r w:rsidR="000C4A16" w:rsidRPr="00132AF8">
        <w:rPr>
          <w:rFonts w:ascii="Tahoma" w:hAnsi="Tahoma" w:cs="Tahoma"/>
          <w:sz w:val="24"/>
          <w:szCs w:val="24"/>
        </w:rPr>
        <w:t>a stipulation that d</w:t>
      </w:r>
      <w:r w:rsidR="0087707A" w:rsidRPr="00132AF8">
        <w:rPr>
          <w:rFonts w:ascii="Tahoma" w:hAnsi="Tahoma" w:cs="Tahoma"/>
          <w:sz w:val="24"/>
          <w:szCs w:val="24"/>
        </w:rPr>
        <w:t>evelopment proposals must incorporate the river corridor into the design layout. The river corridor represents a key opportunity to enhance tourism provision as well as enhancing access to the harbour.</w:t>
      </w:r>
      <w:r w:rsidR="00745CEE" w:rsidRPr="00132AF8">
        <w:rPr>
          <w:rFonts w:ascii="Tahoma" w:hAnsi="Tahoma" w:cs="Tahoma"/>
          <w:sz w:val="24"/>
          <w:szCs w:val="24"/>
        </w:rPr>
        <w:t xml:space="preserve"> </w:t>
      </w:r>
    </w:p>
    <w:p w:rsidR="00C4206F" w:rsidRPr="00132AF8" w:rsidRDefault="00C4206F" w:rsidP="001D449A">
      <w:pPr>
        <w:autoSpaceDE w:val="0"/>
        <w:autoSpaceDN w:val="0"/>
        <w:adjustRightInd w:val="0"/>
        <w:spacing w:after="0" w:line="240" w:lineRule="auto"/>
        <w:rPr>
          <w:rFonts w:ascii="Tahoma" w:hAnsi="Tahoma" w:cs="Tahoma"/>
          <w:sz w:val="24"/>
          <w:szCs w:val="24"/>
        </w:rPr>
      </w:pPr>
    </w:p>
    <w:p w:rsidR="00C4206F"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5.6</w:t>
      </w:r>
      <w:r w:rsidR="00864AE4" w:rsidRPr="00132AF8">
        <w:rPr>
          <w:rFonts w:ascii="Tahoma" w:hAnsi="Tahoma" w:cs="Tahoma"/>
          <w:sz w:val="24"/>
          <w:szCs w:val="24"/>
        </w:rPr>
        <w:t xml:space="preserve"> </w:t>
      </w:r>
      <w:r w:rsidR="00866BF0">
        <w:rPr>
          <w:rFonts w:ascii="Tahoma" w:hAnsi="Tahoma" w:cs="Tahoma"/>
          <w:sz w:val="24"/>
          <w:szCs w:val="24"/>
        </w:rPr>
        <w:tab/>
      </w:r>
      <w:r w:rsidR="00FE4F6C" w:rsidRPr="00132AF8">
        <w:rPr>
          <w:rFonts w:ascii="Tahoma" w:hAnsi="Tahoma" w:cs="Tahoma"/>
          <w:sz w:val="24"/>
          <w:szCs w:val="24"/>
        </w:rPr>
        <w:t>Through the LDP process th</w:t>
      </w:r>
      <w:r w:rsidR="00864AE4" w:rsidRPr="00132AF8">
        <w:rPr>
          <w:rFonts w:ascii="Tahoma" w:hAnsi="Tahoma" w:cs="Tahoma"/>
          <w:sz w:val="24"/>
          <w:szCs w:val="24"/>
        </w:rPr>
        <w:t>e</w:t>
      </w:r>
      <w:r w:rsidR="006E39E8" w:rsidRPr="00132AF8">
        <w:rPr>
          <w:rFonts w:ascii="Tahoma" w:hAnsi="Tahoma" w:cs="Tahoma"/>
          <w:sz w:val="24"/>
          <w:szCs w:val="24"/>
        </w:rPr>
        <w:t>re will be the opportunity to consider how</w:t>
      </w:r>
      <w:r w:rsidR="00FE4F6C" w:rsidRPr="00132AF8">
        <w:rPr>
          <w:rFonts w:ascii="Tahoma" w:hAnsi="Tahoma" w:cs="Tahoma"/>
          <w:sz w:val="24"/>
          <w:szCs w:val="24"/>
        </w:rPr>
        <w:t xml:space="preserve"> land use designati</w:t>
      </w:r>
      <w:r w:rsidR="00864AE4" w:rsidRPr="00132AF8">
        <w:rPr>
          <w:rFonts w:ascii="Tahoma" w:hAnsi="Tahoma" w:cs="Tahoma"/>
          <w:sz w:val="24"/>
          <w:szCs w:val="24"/>
        </w:rPr>
        <w:t xml:space="preserve">ons, policies and proposals </w:t>
      </w:r>
      <w:r w:rsidR="006E39E8" w:rsidRPr="00132AF8">
        <w:rPr>
          <w:rFonts w:ascii="Tahoma" w:hAnsi="Tahoma" w:cs="Tahoma"/>
          <w:sz w:val="24"/>
          <w:szCs w:val="24"/>
        </w:rPr>
        <w:t xml:space="preserve">can </w:t>
      </w:r>
      <w:r w:rsidR="00745CEE" w:rsidRPr="00132AF8">
        <w:rPr>
          <w:rFonts w:ascii="Tahoma" w:hAnsi="Tahoma" w:cs="Tahoma"/>
          <w:sz w:val="24"/>
          <w:szCs w:val="24"/>
        </w:rPr>
        <w:t xml:space="preserve">further </w:t>
      </w:r>
      <w:r w:rsidR="00FE4F6C" w:rsidRPr="00132AF8">
        <w:rPr>
          <w:rFonts w:ascii="Tahoma" w:hAnsi="Tahoma" w:cs="Tahoma"/>
          <w:sz w:val="24"/>
          <w:szCs w:val="24"/>
        </w:rPr>
        <w:t xml:space="preserve">support </w:t>
      </w:r>
      <w:r w:rsidR="00864AE4" w:rsidRPr="00132AF8">
        <w:rPr>
          <w:rFonts w:ascii="Tahoma" w:hAnsi="Tahoma" w:cs="Tahoma"/>
          <w:sz w:val="24"/>
          <w:szCs w:val="24"/>
        </w:rPr>
        <w:t xml:space="preserve">economic growth </w:t>
      </w:r>
      <w:r w:rsidR="006E39E8" w:rsidRPr="00132AF8">
        <w:rPr>
          <w:rFonts w:ascii="Tahoma" w:hAnsi="Tahoma" w:cs="Tahoma"/>
          <w:sz w:val="24"/>
          <w:szCs w:val="24"/>
        </w:rPr>
        <w:t xml:space="preserve">and diversification </w:t>
      </w:r>
      <w:r w:rsidR="001903A9" w:rsidRPr="00132AF8">
        <w:rPr>
          <w:rFonts w:ascii="Tahoma" w:hAnsi="Tahoma" w:cs="Tahoma"/>
          <w:sz w:val="24"/>
          <w:szCs w:val="24"/>
        </w:rPr>
        <w:t>of the harbour</w:t>
      </w:r>
      <w:r w:rsidR="00864AE4" w:rsidRPr="00132AF8">
        <w:rPr>
          <w:rFonts w:ascii="Tahoma" w:hAnsi="Tahoma" w:cs="Tahoma"/>
          <w:sz w:val="24"/>
          <w:szCs w:val="24"/>
        </w:rPr>
        <w:t>, town and local area.</w:t>
      </w:r>
      <w:r w:rsidR="00753952" w:rsidRPr="00132AF8">
        <w:rPr>
          <w:rFonts w:ascii="Tahoma" w:hAnsi="Tahoma" w:cs="Tahoma"/>
          <w:sz w:val="24"/>
          <w:szCs w:val="24"/>
        </w:rPr>
        <w:t xml:space="preserve"> </w:t>
      </w:r>
    </w:p>
    <w:p w:rsidR="00753952" w:rsidRDefault="00753952" w:rsidP="00FC76CD">
      <w:pPr>
        <w:autoSpaceDE w:val="0"/>
        <w:autoSpaceDN w:val="0"/>
        <w:adjustRightInd w:val="0"/>
        <w:spacing w:after="0" w:line="240" w:lineRule="auto"/>
        <w:jc w:val="both"/>
        <w:rPr>
          <w:rFonts w:ascii="Arial" w:hAnsi="Arial" w:cs="Arial"/>
          <w:sz w:val="24"/>
          <w:szCs w:val="24"/>
        </w:rPr>
      </w:pPr>
    </w:p>
    <w:p w:rsidR="004F1F97" w:rsidRPr="00132AF8" w:rsidRDefault="004F1F97" w:rsidP="001D449A">
      <w:pPr>
        <w:autoSpaceDE w:val="0"/>
        <w:autoSpaceDN w:val="0"/>
        <w:adjustRightInd w:val="0"/>
        <w:spacing w:after="0" w:line="240" w:lineRule="auto"/>
        <w:rPr>
          <w:rFonts w:ascii="Tahoma" w:hAnsi="Tahoma" w:cs="Tahoma"/>
          <w:b/>
          <w:sz w:val="24"/>
          <w:szCs w:val="24"/>
        </w:rPr>
      </w:pPr>
      <w:proofErr w:type="spellStart"/>
      <w:r w:rsidRPr="00132AF8">
        <w:rPr>
          <w:rFonts w:ascii="Tahoma" w:hAnsi="Tahoma" w:cs="Tahoma"/>
          <w:b/>
          <w:sz w:val="24"/>
          <w:szCs w:val="24"/>
        </w:rPr>
        <w:t>Warrenpoint</w:t>
      </w:r>
      <w:proofErr w:type="spellEnd"/>
      <w:r w:rsidRPr="00132AF8">
        <w:rPr>
          <w:rFonts w:ascii="Tahoma" w:hAnsi="Tahoma" w:cs="Tahoma"/>
          <w:b/>
          <w:sz w:val="24"/>
          <w:szCs w:val="24"/>
        </w:rPr>
        <w:t xml:space="preserve"> </w:t>
      </w:r>
      <w:r w:rsidR="003452B3" w:rsidRPr="00132AF8">
        <w:rPr>
          <w:rFonts w:ascii="Tahoma" w:hAnsi="Tahoma" w:cs="Tahoma"/>
          <w:b/>
          <w:sz w:val="24"/>
          <w:szCs w:val="24"/>
        </w:rPr>
        <w:t>Harbour</w:t>
      </w:r>
    </w:p>
    <w:p w:rsidR="004F1F97" w:rsidRPr="00132AF8" w:rsidRDefault="004F1F97" w:rsidP="001D449A">
      <w:pPr>
        <w:autoSpaceDE w:val="0"/>
        <w:autoSpaceDN w:val="0"/>
        <w:adjustRightInd w:val="0"/>
        <w:spacing w:after="0" w:line="240" w:lineRule="auto"/>
        <w:rPr>
          <w:rFonts w:ascii="Tahoma" w:hAnsi="Tahoma" w:cs="Tahoma"/>
          <w:sz w:val="24"/>
          <w:szCs w:val="24"/>
        </w:rPr>
      </w:pPr>
    </w:p>
    <w:p w:rsidR="004F1F97"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5.7</w:t>
      </w:r>
      <w:r w:rsidR="00CC6B84" w:rsidRPr="00132AF8">
        <w:rPr>
          <w:rFonts w:ascii="Tahoma" w:hAnsi="Tahoma" w:cs="Tahoma"/>
          <w:sz w:val="24"/>
          <w:szCs w:val="24"/>
        </w:rPr>
        <w:t xml:space="preserve"> </w:t>
      </w:r>
      <w:r w:rsidR="00866BF0">
        <w:rPr>
          <w:rFonts w:ascii="Tahoma" w:hAnsi="Tahoma" w:cs="Tahoma"/>
          <w:sz w:val="24"/>
          <w:szCs w:val="24"/>
        </w:rPr>
        <w:tab/>
      </w:r>
      <w:r w:rsidR="00E93F1B" w:rsidRPr="00132AF8">
        <w:rPr>
          <w:rFonts w:ascii="Tahoma" w:hAnsi="Tahoma" w:cs="Tahoma"/>
          <w:sz w:val="24"/>
          <w:szCs w:val="24"/>
        </w:rPr>
        <w:t xml:space="preserve">The RDS states that </w:t>
      </w:r>
      <w:r w:rsidR="004F1F97" w:rsidRPr="00132AF8">
        <w:rPr>
          <w:rFonts w:ascii="Tahoma" w:hAnsi="Tahoma" w:cs="Tahoma"/>
          <w:sz w:val="24"/>
          <w:szCs w:val="24"/>
        </w:rPr>
        <w:t xml:space="preserve">Newry and </w:t>
      </w:r>
      <w:proofErr w:type="spellStart"/>
      <w:r w:rsidR="004F1F97" w:rsidRPr="00132AF8">
        <w:rPr>
          <w:rFonts w:ascii="Tahoma" w:hAnsi="Tahoma" w:cs="Tahoma"/>
          <w:sz w:val="24"/>
          <w:szCs w:val="24"/>
        </w:rPr>
        <w:t>Warrenpoint</w:t>
      </w:r>
      <w:proofErr w:type="spellEnd"/>
      <w:r w:rsidR="004F1F97" w:rsidRPr="00132AF8">
        <w:rPr>
          <w:rFonts w:ascii="Tahoma" w:hAnsi="Tahoma" w:cs="Tahoma"/>
          <w:sz w:val="24"/>
          <w:szCs w:val="24"/>
        </w:rPr>
        <w:t xml:space="preserve"> form the </w:t>
      </w:r>
      <w:r w:rsidR="00E93F1B" w:rsidRPr="00132AF8">
        <w:rPr>
          <w:rFonts w:ascii="Tahoma" w:hAnsi="Tahoma" w:cs="Tahoma"/>
          <w:sz w:val="24"/>
          <w:szCs w:val="24"/>
        </w:rPr>
        <w:t xml:space="preserve">South Eastern City Gateway </w:t>
      </w:r>
      <w:r w:rsidR="00C67890" w:rsidRPr="00132AF8">
        <w:rPr>
          <w:rFonts w:ascii="Tahoma" w:hAnsi="Tahoma" w:cs="Tahoma"/>
          <w:sz w:val="24"/>
          <w:szCs w:val="24"/>
        </w:rPr>
        <w:t>providing</w:t>
      </w:r>
      <w:r w:rsidR="00E93F1B" w:rsidRPr="00132AF8">
        <w:rPr>
          <w:rFonts w:ascii="Tahoma" w:hAnsi="Tahoma" w:cs="Tahoma"/>
          <w:sz w:val="24"/>
          <w:szCs w:val="24"/>
        </w:rPr>
        <w:t xml:space="preserve"> strategic </w:t>
      </w:r>
      <w:r w:rsidR="007E7BFA" w:rsidRPr="00132AF8">
        <w:rPr>
          <w:rFonts w:ascii="Tahoma" w:hAnsi="Tahoma" w:cs="Tahoma"/>
          <w:sz w:val="24"/>
          <w:szCs w:val="24"/>
        </w:rPr>
        <w:t xml:space="preserve">road </w:t>
      </w:r>
      <w:r w:rsidR="00E93F1B" w:rsidRPr="00132AF8">
        <w:rPr>
          <w:rFonts w:ascii="Tahoma" w:hAnsi="Tahoma" w:cs="Tahoma"/>
          <w:sz w:val="24"/>
          <w:szCs w:val="24"/>
        </w:rPr>
        <w:t>links to Dundalk and on to Dublin</w:t>
      </w:r>
      <w:r w:rsidR="00C5140B" w:rsidRPr="00132AF8">
        <w:rPr>
          <w:rFonts w:ascii="Tahoma" w:hAnsi="Tahoma" w:cs="Tahoma"/>
          <w:sz w:val="24"/>
          <w:szCs w:val="24"/>
        </w:rPr>
        <w:t xml:space="preserve"> and freight services operating out of </w:t>
      </w:r>
      <w:proofErr w:type="spellStart"/>
      <w:r w:rsidR="00C5140B" w:rsidRPr="00132AF8">
        <w:rPr>
          <w:rFonts w:ascii="Tahoma" w:hAnsi="Tahoma" w:cs="Tahoma"/>
          <w:sz w:val="24"/>
          <w:szCs w:val="24"/>
        </w:rPr>
        <w:t>Warrenpoint</w:t>
      </w:r>
      <w:proofErr w:type="spellEnd"/>
      <w:r w:rsidR="00C5140B" w:rsidRPr="00132AF8">
        <w:rPr>
          <w:rFonts w:ascii="Tahoma" w:hAnsi="Tahoma" w:cs="Tahoma"/>
          <w:sz w:val="24"/>
          <w:szCs w:val="24"/>
        </w:rPr>
        <w:t xml:space="preserve"> harbour</w:t>
      </w:r>
      <w:r w:rsidR="00E93F1B" w:rsidRPr="00132AF8">
        <w:rPr>
          <w:rFonts w:ascii="Tahoma" w:hAnsi="Tahoma" w:cs="Tahoma"/>
          <w:sz w:val="24"/>
          <w:szCs w:val="24"/>
        </w:rPr>
        <w:t>. Gateways are strategically important transport interchanges which are important for economic development, freight distribution activities and additional employment generation.</w:t>
      </w:r>
    </w:p>
    <w:p w:rsidR="00377B30" w:rsidRPr="00132AF8" w:rsidRDefault="00377B30" w:rsidP="004F1F97">
      <w:pPr>
        <w:autoSpaceDE w:val="0"/>
        <w:autoSpaceDN w:val="0"/>
        <w:adjustRightInd w:val="0"/>
        <w:spacing w:after="0" w:line="240" w:lineRule="auto"/>
        <w:rPr>
          <w:rFonts w:ascii="Tahoma" w:hAnsi="Tahoma" w:cs="Tahoma"/>
          <w:b/>
          <w:sz w:val="24"/>
          <w:szCs w:val="24"/>
        </w:rPr>
      </w:pPr>
    </w:p>
    <w:p w:rsidR="004F1F97"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5.8</w:t>
      </w:r>
      <w:r w:rsidR="00CC6B84" w:rsidRPr="00132AF8">
        <w:rPr>
          <w:rFonts w:ascii="Tahoma" w:hAnsi="Tahoma" w:cs="Tahoma"/>
          <w:sz w:val="24"/>
          <w:szCs w:val="24"/>
        </w:rPr>
        <w:t xml:space="preserve"> </w:t>
      </w:r>
      <w:r w:rsidR="00866BF0">
        <w:rPr>
          <w:rFonts w:ascii="Tahoma" w:hAnsi="Tahoma" w:cs="Tahoma"/>
          <w:sz w:val="24"/>
          <w:szCs w:val="24"/>
        </w:rPr>
        <w:tab/>
      </w:r>
      <w:proofErr w:type="spellStart"/>
      <w:r w:rsidR="009E273E" w:rsidRPr="00132AF8">
        <w:rPr>
          <w:rFonts w:ascii="Tahoma" w:hAnsi="Tahoma" w:cs="Tahoma"/>
          <w:sz w:val="24"/>
          <w:szCs w:val="24"/>
        </w:rPr>
        <w:t>Warrenpoint</w:t>
      </w:r>
      <w:proofErr w:type="spellEnd"/>
      <w:r w:rsidR="009E273E" w:rsidRPr="00132AF8">
        <w:rPr>
          <w:rFonts w:ascii="Tahoma" w:hAnsi="Tahoma" w:cs="Tahoma"/>
          <w:sz w:val="24"/>
          <w:szCs w:val="24"/>
        </w:rPr>
        <w:t xml:space="preserve"> harbour is primarily a commercial port for freig</w:t>
      </w:r>
      <w:r w:rsidR="00232D74" w:rsidRPr="00132AF8">
        <w:rPr>
          <w:rFonts w:ascii="Tahoma" w:hAnsi="Tahoma" w:cs="Tahoma"/>
          <w:sz w:val="24"/>
          <w:szCs w:val="24"/>
        </w:rPr>
        <w:t>ht services, with a focus on r</w:t>
      </w:r>
      <w:r w:rsidR="009E273E" w:rsidRPr="00132AF8">
        <w:rPr>
          <w:rFonts w:ascii="Tahoma" w:hAnsi="Tahoma" w:cs="Tahoma"/>
          <w:sz w:val="24"/>
          <w:szCs w:val="24"/>
        </w:rPr>
        <w:t>o</w:t>
      </w:r>
      <w:r w:rsidR="00232D74" w:rsidRPr="00132AF8">
        <w:rPr>
          <w:rFonts w:ascii="Tahoma" w:hAnsi="Tahoma" w:cs="Tahoma"/>
          <w:sz w:val="24"/>
          <w:szCs w:val="24"/>
        </w:rPr>
        <w:t>ll on r</w:t>
      </w:r>
      <w:r w:rsidR="009E273E" w:rsidRPr="00132AF8">
        <w:rPr>
          <w:rFonts w:ascii="Tahoma" w:hAnsi="Tahoma" w:cs="Tahoma"/>
          <w:sz w:val="24"/>
          <w:szCs w:val="24"/>
        </w:rPr>
        <w:t>o</w:t>
      </w:r>
      <w:r w:rsidR="00232D74" w:rsidRPr="00132AF8">
        <w:rPr>
          <w:rFonts w:ascii="Tahoma" w:hAnsi="Tahoma" w:cs="Tahoma"/>
          <w:sz w:val="24"/>
          <w:szCs w:val="24"/>
        </w:rPr>
        <w:t>ll off freight</w:t>
      </w:r>
      <w:r w:rsidR="009E273E" w:rsidRPr="00132AF8">
        <w:rPr>
          <w:rFonts w:ascii="Tahoma" w:hAnsi="Tahoma" w:cs="Tahoma"/>
          <w:sz w:val="24"/>
          <w:szCs w:val="24"/>
        </w:rPr>
        <w:t>. The port engages in very little non-port activities with less than 1% of revenue generated from non-port activities.</w:t>
      </w:r>
      <w:r w:rsidR="00CC6B84" w:rsidRPr="00132AF8">
        <w:rPr>
          <w:rStyle w:val="FootnoteReference"/>
          <w:rFonts w:ascii="Tahoma" w:hAnsi="Tahoma" w:cs="Tahoma"/>
          <w:sz w:val="24"/>
          <w:szCs w:val="24"/>
        </w:rPr>
        <w:footnoteReference w:id="24"/>
      </w:r>
      <w:r w:rsidR="009E273E" w:rsidRPr="00132AF8">
        <w:rPr>
          <w:rFonts w:ascii="Tahoma" w:hAnsi="Tahoma" w:cs="Tahoma"/>
          <w:sz w:val="24"/>
          <w:szCs w:val="24"/>
        </w:rPr>
        <w:t xml:space="preserve">  </w:t>
      </w:r>
      <w:r w:rsidR="00FD5A8C" w:rsidRPr="00132AF8">
        <w:rPr>
          <w:rFonts w:ascii="Tahoma" w:hAnsi="Tahoma" w:cs="Tahoma"/>
          <w:sz w:val="24"/>
          <w:szCs w:val="24"/>
        </w:rPr>
        <w:t xml:space="preserve">NISRA review of NI ports traffic in 2013 indicated that </w:t>
      </w:r>
      <w:proofErr w:type="spellStart"/>
      <w:r w:rsidR="00FD5A8C" w:rsidRPr="00132AF8">
        <w:rPr>
          <w:rFonts w:ascii="Tahoma" w:hAnsi="Tahoma" w:cs="Tahoma"/>
          <w:sz w:val="24"/>
          <w:szCs w:val="24"/>
        </w:rPr>
        <w:t>Warrenpoint</w:t>
      </w:r>
      <w:proofErr w:type="spellEnd"/>
      <w:r w:rsidR="00FD5A8C" w:rsidRPr="00132AF8">
        <w:rPr>
          <w:rFonts w:ascii="Tahoma" w:hAnsi="Tahoma" w:cs="Tahoma"/>
          <w:sz w:val="24"/>
          <w:szCs w:val="24"/>
        </w:rPr>
        <w:t xml:space="preserve"> had the 2</w:t>
      </w:r>
      <w:r w:rsidR="00FD5A8C" w:rsidRPr="00132AF8">
        <w:rPr>
          <w:rFonts w:ascii="Tahoma" w:hAnsi="Tahoma" w:cs="Tahoma"/>
          <w:sz w:val="24"/>
          <w:szCs w:val="24"/>
          <w:vertAlign w:val="superscript"/>
        </w:rPr>
        <w:t>nd</w:t>
      </w:r>
      <w:r w:rsidR="00FD5A8C" w:rsidRPr="00132AF8">
        <w:rPr>
          <w:rFonts w:ascii="Tahoma" w:hAnsi="Tahoma" w:cs="Tahoma"/>
          <w:sz w:val="24"/>
          <w:szCs w:val="24"/>
        </w:rPr>
        <w:t xml:space="preserve"> highest level of total </w:t>
      </w:r>
      <w:r w:rsidR="007E7BFA" w:rsidRPr="00132AF8">
        <w:rPr>
          <w:rFonts w:ascii="Tahoma" w:hAnsi="Tahoma" w:cs="Tahoma"/>
          <w:sz w:val="24"/>
          <w:szCs w:val="24"/>
        </w:rPr>
        <w:t xml:space="preserve">NI </w:t>
      </w:r>
      <w:r w:rsidR="00FD5A8C" w:rsidRPr="00132AF8">
        <w:rPr>
          <w:rFonts w:ascii="Tahoma" w:hAnsi="Tahoma" w:cs="Tahoma"/>
          <w:sz w:val="24"/>
          <w:szCs w:val="24"/>
        </w:rPr>
        <w:t>traffic (11%) after Belfast.</w:t>
      </w:r>
      <w:r w:rsidR="00FD5A8C" w:rsidRPr="00132AF8">
        <w:rPr>
          <w:rStyle w:val="FootnoteReference"/>
          <w:rFonts w:ascii="Tahoma" w:hAnsi="Tahoma" w:cs="Tahoma"/>
          <w:sz w:val="24"/>
          <w:szCs w:val="24"/>
        </w:rPr>
        <w:footnoteReference w:id="25"/>
      </w:r>
      <w:r w:rsidR="00FD5A8C" w:rsidRPr="00132AF8">
        <w:rPr>
          <w:rFonts w:ascii="Tahoma" w:hAnsi="Tahoma" w:cs="Tahoma"/>
          <w:sz w:val="24"/>
          <w:szCs w:val="24"/>
        </w:rPr>
        <w:t xml:space="preserve"> The port is thus an important commercial </w:t>
      </w:r>
      <w:r w:rsidR="00C9172D" w:rsidRPr="00132AF8">
        <w:rPr>
          <w:rFonts w:ascii="Tahoma" w:hAnsi="Tahoma" w:cs="Tahoma"/>
          <w:sz w:val="24"/>
          <w:szCs w:val="24"/>
        </w:rPr>
        <w:t xml:space="preserve">freight </w:t>
      </w:r>
      <w:r w:rsidR="002E7BD0" w:rsidRPr="00132AF8">
        <w:rPr>
          <w:rFonts w:ascii="Tahoma" w:hAnsi="Tahoma" w:cs="Tahoma"/>
          <w:sz w:val="24"/>
          <w:szCs w:val="24"/>
        </w:rPr>
        <w:t>gateway and key employment generator</w:t>
      </w:r>
      <w:r w:rsidR="0014645A" w:rsidRPr="00132AF8">
        <w:rPr>
          <w:rFonts w:ascii="Tahoma" w:hAnsi="Tahoma" w:cs="Tahoma"/>
          <w:sz w:val="24"/>
          <w:szCs w:val="24"/>
        </w:rPr>
        <w:t>,</w:t>
      </w:r>
      <w:r w:rsidR="002E7BD0" w:rsidRPr="00132AF8">
        <w:rPr>
          <w:rFonts w:ascii="Tahoma" w:hAnsi="Tahoma" w:cs="Tahoma"/>
          <w:sz w:val="24"/>
          <w:szCs w:val="24"/>
        </w:rPr>
        <w:t xml:space="preserve"> and road connectivity will continue to play a crucial role in its future growth and development.</w:t>
      </w:r>
    </w:p>
    <w:p w:rsidR="009E273E" w:rsidRPr="00132AF8" w:rsidRDefault="009E273E" w:rsidP="004F1F97">
      <w:pPr>
        <w:autoSpaceDE w:val="0"/>
        <w:autoSpaceDN w:val="0"/>
        <w:adjustRightInd w:val="0"/>
        <w:spacing w:after="0" w:line="240" w:lineRule="auto"/>
        <w:rPr>
          <w:rFonts w:ascii="Tahoma" w:hAnsi="Tahoma" w:cs="Tahoma"/>
          <w:sz w:val="24"/>
          <w:szCs w:val="24"/>
        </w:rPr>
      </w:pPr>
    </w:p>
    <w:p w:rsidR="00D476CB" w:rsidRPr="00132AF8" w:rsidRDefault="00D476CB" w:rsidP="0014645A">
      <w:pPr>
        <w:spacing w:line="240" w:lineRule="auto"/>
        <w:rPr>
          <w:rFonts w:ascii="Tahoma" w:hAnsi="Tahoma" w:cs="Tahoma"/>
          <w:b/>
          <w:sz w:val="24"/>
          <w:szCs w:val="24"/>
        </w:rPr>
      </w:pPr>
      <w:r w:rsidRPr="00132AF8">
        <w:rPr>
          <w:rFonts w:ascii="Tahoma" w:hAnsi="Tahoma" w:cs="Tahoma"/>
          <w:b/>
          <w:sz w:val="24"/>
          <w:szCs w:val="24"/>
        </w:rPr>
        <w:t>Newry Southern Relief Road</w:t>
      </w:r>
    </w:p>
    <w:p w:rsidR="0014645A" w:rsidRPr="00132AF8" w:rsidRDefault="003452B3" w:rsidP="00FC76CD">
      <w:pPr>
        <w:spacing w:line="240" w:lineRule="auto"/>
        <w:jc w:val="both"/>
        <w:rPr>
          <w:rFonts w:ascii="Tahoma" w:hAnsi="Tahoma" w:cs="Tahoma"/>
          <w:sz w:val="24"/>
          <w:szCs w:val="24"/>
        </w:rPr>
      </w:pPr>
      <w:r w:rsidRPr="00132AF8">
        <w:rPr>
          <w:rFonts w:ascii="Tahoma" w:hAnsi="Tahoma" w:cs="Tahoma"/>
          <w:b/>
          <w:sz w:val="24"/>
          <w:szCs w:val="24"/>
        </w:rPr>
        <w:t>5.9</w:t>
      </w:r>
      <w:r w:rsidR="00CC6B84" w:rsidRPr="00132AF8">
        <w:rPr>
          <w:rFonts w:ascii="Tahoma" w:hAnsi="Tahoma" w:cs="Tahoma"/>
          <w:sz w:val="24"/>
          <w:szCs w:val="24"/>
        </w:rPr>
        <w:t xml:space="preserve"> </w:t>
      </w:r>
      <w:r w:rsidR="00866BF0">
        <w:rPr>
          <w:rFonts w:ascii="Tahoma" w:hAnsi="Tahoma" w:cs="Tahoma"/>
          <w:sz w:val="24"/>
          <w:szCs w:val="24"/>
        </w:rPr>
        <w:tab/>
      </w:r>
      <w:r w:rsidR="006D6266" w:rsidRPr="00132AF8">
        <w:rPr>
          <w:rFonts w:ascii="Tahoma" w:hAnsi="Tahoma" w:cs="Tahoma"/>
          <w:sz w:val="24"/>
          <w:szCs w:val="24"/>
        </w:rPr>
        <w:t xml:space="preserve">The draft </w:t>
      </w:r>
      <w:proofErr w:type="spellStart"/>
      <w:r w:rsidR="006D6266" w:rsidRPr="00132AF8">
        <w:rPr>
          <w:rFonts w:ascii="Tahoma" w:hAnsi="Tahoma" w:cs="Tahoma"/>
          <w:sz w:val="24"/>
          <w:szCs w:val="24"/>
        </w:rPr>
        <w:t>Banbridge</w:t>
      </w:r>
      <w:proofErr w:type="spellEnd"/>
      <w:r w:rsidR="006D6266" w:rsidRPr="00132AF8">
        <w:rPr>
          <w:rFonts w:ascii="Tahoma" w:hAnsi="Tahoma" w:cs="Tahoma"/>
          <w:sz w:val="24"/>
          <w:szCs w:val="24"/>
        </w:rPr>
        <w:t xml:space="preserve">, Newry and </w:t>
      </w:r>
      <w:proofErr w:type="spellStart"/>
      <w:r w:rsidR="006D6266" w:rsidRPr="00132AF8">
        <w:rPr>
          <w:rFonts w:ascii="Tahoma" w:hAnsi="Tahoma" w:cs="Tahoma"/>
          <w:sz w:val="24"/>
          <w:szCs w:val="24"/>
        </w:rPr>
        <w:t>Mourne</w:t>
      </w:r>
      <w:proofErr w:type="spellEnd"/>
      <w:r w:rsidR="006D6266" w:rsidRPr="00132AF8">
        <w:rPr>
          <w:rFonts w:ascii="Tahoma" w:hAnsi="Tahoma" w:cs="Tahoma"/>
          <w:sz w:val="24"/>
          <w:szCs w:val="24"/>
        </w:rPr>
        <w:t xml:space="preserve"> Area Plan 2015 </w:t>
      </w:r>
      <w:r w:rsidR="007C46BA" w:rsidRPr="00132AF8">
        <w:rPr>
          <w:rFonts w:ascii="Tahoma" w:hAnsi="Tahoma" w:cs="Tahoma"/>
          <w:sz w:val="24"/>
          <w:szCs w:val="24"/>
        </w:rPr>
        <w:t>(</w:t>
      </w:r>
      <w:proofErr w:type="spellStart"/>
      <w:r w:rsidR="0059709C" w:rsidRPr="00132AF8">
        <w:rPr>
          <w:rFonts w:ascii="Tahoma" w:hAnsi="Tahoma" w:cs="Tahoma"/>
          <w:sz w:val="24"/>
          <w:szCs w:val="24"/>
        </w:rPr>
        <w:t>d</w:t>
      </w:r>
      <w:r w:rsidR="007C46BA" w:rsidRPr="00132AF8">
        <w:rPr>
          <w:rFonts w:ascii="Tahoma" w:hAnsi="Tahoma" w:cs="Tahoma"/>
          <w:sz w:val="24"/>
          <w:szCs w:val="24"/>
        </w:rPr>
        <w:t>BNMAP</w:t>
      </w:r>
      <w:proofErr w:type="spellEnd"/>
      <w:r w:rsidR="007C46BA" w:rsidRPr="00132AF8">
        <w:rPr>
          <w:rFonts w:ascii="Tahoma" w:hAnsi="Tahoma" w:cs="Tahoma"/>
          <w:sz w:val="24"/>
          <w:szCs w:val="24"/>
        </w:rPr>
        <w:t xml:space="preserve">) </w:t>
      </w:r>
      <w:r w:rsidR="006D6266" w:rsidRPr="00132AF8">
        <w:rPr>
          <w:rFonts w:ascii="Tahoma" w:hAnsi="Tahoma" w:cs="Tahoma"/>
          <w:sz w:val="24"/>
          <w:szCs w:val="24"/>
        </w:rPr>
        <w:t>published in August 2006 included a proposal for a Newry Southern Bypass as a long term strategic road improvement</w:t>
      </w:r>
      <w:r w:rsidR="00C9172D" w:rsidRPr="00132AF8">
        <w:rPr>
          <w:rFonts w:ascii="Tahoma" w:hAnsi="Tahoma" w:cs="Tahoma"/>
          <w:sz w:val="24"/>
          <w:szCs w:val="24"/>
        </w:rPr>
        <w:t xml:space="preserve"> </w:t>
      </w:r>
      <w:r w:rsidR="006808E1" w:rsidRPr="00132AF8">
        <w:rPr>
          <w:rFonts w:ascii="Tahoma" w:hAnsi="Tahoma" w:cs="Tahoma"/>
          <w:sz w:val="24"/>
          <w:szCs w:val="24"/>
        </w:rPr>
        <w:t xml:space="preserve">(SRI) </w:t>
      </w:r>
      <w:r w:rsidR="00C9172D" w:rsidRPr="00132AF8">
        <w:rPr>
          <w:rFonts w:ascii="Tahoma" w:hAnsi="Tahoma" w:cs="Tahoma"/>
          <w:sz w:val="24"/>
          <w:szCs w:val="24"/>
        </w:rPr>
        <w:t>to link from the A1</w:t>
      </w:r>
      <w:r w:rsidR="00DC316D" w:rsidRPr="00132AF8">
        <w:rPr>
          <w:rFonts w:ascii="Tahoma" w:hAnsi="Tahoma" w:cs="Tahoma"/>
          <w:sz w:val="24"/>
          <w:szCs w:val="24"/>
        </w:rPr>
        <w:t>,</w:t>
      </w:r>
      <w:r w:rsidR="00C9172D" w:rsidRPr="00132AF8">
        <w:rPr>
          <w:rFonts w:ascii="Tahoma" w:hAnsi="Tahoma" w:cs="Tahoma"/>
          <w:sz w:val="24"/>
          <w:szCs w:val="24"/>
        </w:rPr>
        <w:t xml:space="preserve"> </w:t>
      </w:r>
      <w:r w:rsidR="006D6266" w:rsidRPr="00132AF8">
        <w:rPr>
          <w:rFonts w:ascii="Tahoma" w:hAnsi="Tahoma" w:cs="Tahoma"/>
          <w:sz w:val="24"/>
          <w:szCs w:val="24"/>
        </w:rPr>
        <w:t xml:space="preserve">a </w:t>
      </w:r>
      <w:r w:rsidR="00C9172D" w:rsidRPr="00132AF8">
        <w:rPr>
          <w:rFonts w:ascii="Tahoma" w:hAnsi="Tahoma" w:cs="Tahoma"/>
          <w:sz w:val="24"/>
          <w:szCs w:val="24"/>
        </w:rPr>
        <w:t>key transport corridor</w:t>
      </w:r>
      <w:r w:rsidR="003D578C" w:rsidRPr="00132AF8">
        <w:rPr>
          <w:rFonts w:ascii="Tahoma" w:hAnsi="Tahoma" w:cs="Tahoma"/>
          <w:sz w:val="24"/>
          <w:szCs w:val="24"/>
        </w:rPr>
        <w:t>(KTC)</w:t>
      </w:r>
      <w:r w:rsidR="003D578C" w:rsidRPr="00132AF8">
        <w:rPr>
          <w:rStyle w:val="FootnoteReference"/>
          <w:rFonts w:ascii="Tahoma" w:hAnsi="Tahoma" w:cs="Tahoma"/>
          <w:sz w:val="24"/>
          <w:szCs w:val="24"/>
        </w:rPr>
        <w:footnoteReference w:id="26"/>
      </w:r>
      <w:r w:rsidR="006D6266" w:rsidRPr="00132AF8">
        <w:rPr>
          <w:rFonts w:ascii="Tahoma" w:hAnsi="Tahoma" w:cs="Tahoma"/>
          <w:sz w:val="24"/>
          <w:szCs w:val="24"/>
        </w:rPr>
        <w:t xml:space="preserve">, to the A2 </w:t>
      </w:r>
      <w:proofErr w:type="spellStart"/>
      <w:r w:rsidR="006D6266" w:rsidRPr="00132AF8">
        <w:rPr>
          <w:rFonts w:ascii="Tahoma" w:hAnsi="Tahoma" w:cs="Tahoma"/>
          <w:sz w:val="24"/>
          <w:szCs w:val="24"/>
        </w:rPr>
        <w:t>Warrenpoint</w:t>
      </w:r>
      <w:proofErr w:type="spellEnd"/>
      <w:r w:rsidR="006D6266" w:rsidRPr="00132AF8">
        <w:rPr>
          <w:rFonts w:ascii="Tahoma" w:hAnsi="Tahoma" w:cs="Tahoma"/>
          <w:sz w:val="24"/>
          <w:szCs w:val="24"/>
        </w:rPr>
        <w:t xml:space="preserve"> Road. </w:t>
      </w:r>
      <w:r w:rsidR="0014645A" w:rsidRPr="00132AF8">
        <w:rPr>
          <w:rFonts w:ascii="Tahoma" w:hAnsi="Tahoma" w:cs="Tahoma"/>
          <w:sz w:val="24"/>
          <w:szCs w:val="24"/>
        </w:rPr>
        <w:t xml:space="preserve">Provision of the relief road was seen as important in not only reducing traffic volumes in Newry City Centre but </w:t>
      </w:r>
      <w:r w:rsidR="00E919ED" w:rsidRPr="00132AF8">
        <w:rPr>
          <w:rFonts w:ascii="Tahoma" w:hAnsi="Tahoma" w:cs="Tahoma"/>
          <w:sz w:val="24"/>
          <w:szCs w:val="24"/>
        </w:rPr>
        <w:t xml:space="preserve">improving access from </w:t>
      </w:r>
      <w:proofErr w:type="spellStart"/>
      <w:r w:rsidR="007C46BA" w:rsidRPr="00132AF8">
        <w:rPr>
          <w:rFonts w:ascii="Tahoma" w:hAnsi="Tahoma" w:cs="Tahoma"/>
          <w:sz w:val="24"/>
          <w:szCs w:val="24"/>
        </w:rPr>
        <w:t>Warrenpoint</w:t>
      </w:r>
      <w:proofErr w:type="spellEnd"/>
      <w:r w:rsidR="007C46BA" w:rsidRPr="00132AF8">
        <w:rPr>
          <w:rFonts w:ascii="Tahoma" w:hAnsi="Tahoma" w:cs="Tahoma"/>
          <w:sz w:val="24"/>
          <w:szCs w:val="24"/>
        </w:rPr>
        <w:t xml:space="preserve"> </w:t>
      </w:r>
      <w:r w:rsidR="003D578C" w:rsidRPr="00132AF8">
        <w:rPr>
          <w:rFonts w:ascii="Tahoma" w:hAnsi="Tahoma" w:cs="Tahoma"/>
          <w:sz w:val="24"/>
          <w:szCs w:val="24"/>
        </w:rPr>
        <w:t>Po</w:t>
      </w:r>
      <w:r w:rsidR="00E919ED" w:rsidRPr="00132AF8">
        <w:rPr>
          <w:rFonts w:ascii="Tahoma" w:hAnsi="Tahoma" w:cs="Tahoma"/>
          <w:sz w:val="24"/>
          <w:szCs w:val="24"/>
        </w:rPr>
        <w:t>rt to the A1.</w:t>
      </w:r>
    </w:p>
    <w:p w:rsidR="004F1F97" w:rsidRPr="00132AF8" w:rsidRDefault="003452B3"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5.10</w:t>
      </w:r>
      <w:r w:rsidR="00CC6B84" w:rsidRPr="00132AF8">
        <w:rPr>
          <w:rFonts w:ascii="Tahoma" w:hAnsi="Tahoma" w:cs="Tahoma"/>
          <w:sz w:val="24"/>
          <w:szCs w:val="24"/>
        </w:rPr>
        <w:t xml:space="preserve"> </w:t>
      </w:r>
      <w:r w:rsidR="00866BF0">
        <w:rPr>
          <w:rFonts w:ascii="Tahoma" w:hAnsi="Tahoma" w:cs="Tahoma"/>
          <w:sz w:val="24"/>
          <w:szCs w:val="24"/>
        </w:rPr>
        <w:tab/>
      </w:r>
      <w:r w:rsidR="006D6266" w:rsidRPr="00132AF8">
        <w:rPr>
          <w:rFonts w:ascii="Tahoma" w:hAnsi="Tahoma" w:cs="Tahoma"/>
          <w:sz w:val="24"/>
          <w:szCs w:val="24"/>
        </w:rPr>
        <w:t>Following on from this consultants, engaged by DRD</w:t>
      </w:r>
      <w:r w:rsidR="00DC316D" w:rsidRPr="00132AF8">
        <w:rPr>
          <w:rFonts w:ascii="Tahoma" w:hAnsi="Tahoma" w:cs="Tahoma"/>
          <w:sz w:val="24"/>
          <w:szCs w:val="24"/>
        </w:rPr>
        <w:t>,</w:t>
      </w:r>
      <w:r w:rsidR="006D6266" w:rsidRPr="00132AF8">
        <w:rPr>
          <w:rFonts w:ascii="Tahoma" w:hAnsi="Tahoma" w:cs="Tahoma"/>
          <w:sz w:val="24"/>
          <w:szCs w:val="24"/>
        </w:rPr>
        <w:t xml:space="preserve"> published a</w:t>
      </w:r>
      <w:r w:rsidR="00377B30" w:rsidRPr="00132AF8">
        <w:rPr>
          <w:rFonts w:ascii="Tahoma" w:hAnsi="Tahoma" w:cs="Tahoma"/>
          <w:sz w:val="24"/>
          <w:szCs w:val="24"/>
        </w:rPr>
        <w:t xml:space="preserve"> </w:t>
      </w:r>
      <w:r w:rsidR="006D6266" w:rsidRPr="00132AF8">
        <w:rPr>
          <w:rFonts w:ascii="Tahoma" w:hAnsi="Tahoma" w:cs="Tahoma"/>
          <w:sz w:val="24"/>
          <w:szCs w:val="24"/>
        </w:rPr>
        <w:t xml:space="preserve">Feasibility Report </w:t>
      </w:r>
      <w:r w:rsidR="00377B30" w:rsidRPr="00132AF8">
        <w:rPr>
          <w:rFonts w:ascii="Tahoma" w:hAnsi="Tahoma" w:cs="Tahoma"/>
          <w:sz w:val="24"/>
          <w:szCs w:val="24"/>
        </w:rPr>
        <w:t xml:space="preserve">in August 2009 </w:t>
      </w:r>
      <w:r w:rsidR="006D6266" w:rsidRPr="00132AF8">
        <w:rPr>
          <w:rFonts w:ascii="Tahoma" w:hAnsi="Tahoma" w:cs="Tahoma"/>
          <w:sz w:val="24"/>
          <w:szCs w:val="24"/>
        </w:rPr>
        <w:t xml:space="preserve">which </w:t>
      </w:r>
      <w:r w:rsidR="00377B30" w:rsidRPr="00132AF8">
        <w:rPr>
          <w:rFonts w:ascii="Tahoma" w:hAnsi="Tahoma" w:cs="Tahoma"/>
          <w:sz w:val="24"/>
          <w:szCs w:val="24"/>
        </w:rPr>
        <w:t>identified four possible route corridors</w:t>
      </w:r>
      <w:r w:rsidR="0014645A" w:rsidRPr="00132AF8">
        <w:rPr>
          <w:rFonts w:ascii="Tahoma" w:hAnsi="Tahoma" w:cs="Tahoma"/>
          <w:sz w:val="24"/>
          <w:szCs w:val="24"/>
        </w:rPr>
        <w:t xml:space="preserve"> for the bypass. </w:t>
      </w:r>
      <w:r w:rsidR="005235BB" w:rsidRPr="00132AF8">
        <w:rPr>
          <w:rFonts w:ascii="Tahoma" w:hAnsi="Tahoma" w:cs="Tahoma"/>
          <w:sz w:val="24"/>
          <w:szCs w:val="24"/>
        </w:rPr>
        <w:lastRenderedPageBreak/>
        <w:t>The BNMAP was subsequently adopted in October 2013 and retained reference to the Newry Southern Relief Road</w:t>
      </w:r>
      <w:r w:rsidR="006808E1" w:rsidRPr="00132AF8">
        <w:rPr>
          <w:rFonts w:ascii="Tahoma" w:hAnsi="Tahoma" w:cs="Tahoma"/>
          <w:sz w:val="24"/>
          <w:szCs w:val="24"/>
        </w:rPr>
        <w:t xml:space="preserve"> as a long term SRI</w:t>
      </w:r>
      <w:r w:rsidR="007C46BA" w:rsidRPr="00132AF8">
        <w:rPr>
          <w:rFonts w:ascii="Tahoma" w:hAnsi="Tahoma" w:cs="Tahoma"/>
          <w:sz w:val="24"/>
          <w:szCs w:val="24"/>
        </w:rPr>
        <w:t>.</w:t>
      </w:r>
      <w:r w:rsidR="00377B30" w:rsidRPr="00132AF8">
        <w:rPr>
          <w:rFonts w:ascii="Tahoma" w:hAnsi="Tahoma" w:cs="Tahoma"/>
          <w:sz w:val="24"/>
          <w:szCs w:val="24"/>
        </w:rPr>
        <w:t xml:space="preserve"> </w:t>
      </w:r>
      <w:r w:rsidR="004F1F97" w:rsidRPr="00132AF8">
        <w:rPr>
          <w:rFonts w:ascii="Tahoma" w:hAnsi="Tahoma" w:cs="Tahoma"/>
          <w:sz w:val="24"/>
          <w:szCs w:val="24"/>
        </w:rPr>
        <w:t>The Newry Southern Relief Road proposal</w:t>
      </w:r>
      <w:r w:rsidR="00CC6B84" w:rsidRPr="00132AF8">
        <w:rPr>
          <w:rFonts w:ascii="Tahoma" w:hAnsi="Tahoma" w:cs="Tahoma"/>
          <w:sz w:val="24"/>
          <w:szCs w:val="24"/>
        </w:rPr>
        <w:t xml:space="preserve"> as of April 2015</w:t>
      </w:r>
      <w:r w:rsidR="0014645A" w:rsidRPr="00132AF8">
        <w:rPr>
          <w:rFonts w:ascii="Tahoma" w:hAnsi="Tahoma" w:cs="Tahoma"/>
          <w:sz w:val="24"/>
          <w:szCs w:val="24"/>
        </w:rPr>
        <w:t xml:space="preserve"> has now</w:t>
      </w:r>
      <w:r w:rsidR="004F1F97" w:rsidRPr="00132AF8">
        <w:rPr>
          <w:rFonts w:ascii="Tahoma" w:hAnsi="Tahoma" w:cs="Tahoma"/>
          <w:sz w:val="24"/>
          <w:szCs w:val="24"/>
        </w:rPr>
        <w:t xml:space="preserve"> progressed into Transport NI’s Forward Planning Schedule and work has commenced on the Stage 1 Preliminary Options Scheme Assessment.</w:t>
      </w:r>
      <w:r w:rsidR="004F1F97" w:rsidRPr="00132AF8">
        <w:rPr>
          <w:rFonts w:ascii="Tahoma" w:hAnsi="Tahoma" w:cs="Tahoma"/>
        </w:rPr>
        <w:t xml:space="preserve"> </w:t>
      </w:r>
      <w:r w:rsidR="006D6266" w:rsidRPr="00132AF8">
        <w:rPr>
          <w:rFonts w:ascii="Tahoma" w:hAnsi="Tahoma" w:cs="Tahoma"/>
          <w:sz w:val="24"/>
          <w:szCs w:val="24"/>
        </w:rPr>
        <w:t xml:space="preserve">Once published this </w:t>
      </w:r>
      <w:r w:rsidR="00CC6B84" w:rsidRPr="00132AF8">
        <w:rPr>
          <w:rFonts w:ascii="Tahoma" w:hAnsi="Tahoma" w:cs="Tahoma"/>
          <w:sz w:val="24"/>
          <w:szCs w:val="24"/>
        </w:rPr>
        <w:t xml:space="preserve">assessment </w:t>
      </w:r>
      <w:r w:rsidR="006D6266" w:rsidRPr="00132AF8">
        <w:rPr>
          <w:rFonts w:ascii="Tahoma" w:hAnsi="Tahoma" w:cs="Tahoma"/>
          <w:sz w:val="24"/>
          <w:szCs w:val="24"/>
        </w:rPr>
        <w:t xml:space="preserve">is likely to include </w:t>
      </w:r>
      <w:r w:rsidR="00EF0295" w:rsidRPr="00132AF8">
        <w:rPr>
          <w:rFonts w:ascii="Tahoma" w:hAnsi="Tahoma" w:cs="Tahoma"/>
          <w:sz w:val="24"/>
          <w:szCs w:val="24"/>
        </w:rPr>
        <w:t>a range of options with cost estimates and a cost/benefit analysis of each one.</w:t>
      </w:r>
    </w:p>
    <w:p w:rsidR="006D6266" w:rsidRPr="00132AF8" w:rsidRDefault="006D6266" w:rsidP="004F1F97">
      <w:pPr>
        <w:autoSpaceDE w:val="0"/>
        <w:autoSpaceDN w:val="0"/>
        <w:adjustRightInd w:val="0"/>
        <w:spacing w:after="0" w:line="240" w:lineRule="auto"/>
        <w:rPr>
          <w:rFonts w:ascii="Tahoma" w:hAnsi="Tahoma" w:cs="Tahoma"/>
          <w:sz w:val="24"/>
          <w:szCs w:val="24"/>
        </w:rPr>
      </w:pPr>
    </w:p>
    <w:p w:rsidR="0059709C" w:rsidRPr="00132AF8" w:rsidRDefault="0059709C"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 xml:space="preserve">5.11 </w:t>
      </w:r>
      <w:r w:rsidR="003F2672">
        <w:rPr>
          <w:rFonts w:ascii="Tahoma" w:hAnsi="Tahoma" w:cs="Tahoma"/>
          <w:b/>
          <w:sz w:val="24"/>
          <w:szCs w:val="24"/>
        </w:rPr>
        <w:tab/>
      </w:r>
      <w:r w:rsidRPr="00132AF8">
        <w:rPr>
          <w:rFonts w:ascii="Tahoma" w:hAnsi="Tahoma" w:cs="Tahoma"/>
          <w:sz w:val="24"/>
          <w:szCs w:val="24"/>
        </w:rPr>
        <w:t>Given the NI Executive current budget constraints</w:t>
      </w:r>
      <w:r w:rsidRPr="00132AF8">
        <w:rPr>
          <w:rFonts w:ascii="Tahoma" w:hAnsi="Tahoma" w:cs="Tahoma"/>
          <w:b/>
          <w:sz w:val="24"/>
          <w:szCs w:val="24"/>
        </w:rPr>
        <w:t xml:space="preserve"> </w:t>
      </w:r>
      <w:r w:rsidRPr="00132AF8">
        <w:rPr>
          <w:rFonts w:ascii="Tahoma" w:hAnsi="Tahoma" w:cs="Tahoma"/>
          <w:sz w:val="24"/>
          <w:szCs w:val="24"/>
        </w:rPr>
        <w:t xml:space="preserve">DRD have sought to move this scheme forward by pursuing additional sources of funding. An application for 75% of the funding was submitted earlier this year to European Union under the Trans European Network Project but unfortunately was unsuccessful. DRD continue to investigate other potential </w:t>
      </w:r>
      <w:r w:rsidR="00EA2713">
        <w:rPr>
          <w:rFonts w:ascii="Tahoma" w:hAnsi="Tahoma" w:cs="Tahoma"/>
          <w:sz w:val="24"/>
          <w:szCs w:val="24"/>
        </w:rPr>
        <w:t xml:space="preserve">sources of </w:t>
      </w:r>
      <w:r w:rsidRPr="00132AF8">
        <w:rPr>
          <w:rFonts w:ascii="Tahoma" w:hAnsi="Tahoma" w:cs="Tahoma"/>
          <w:sz w:val="24"/>
          <w:szCs w:val="24"/>
        </w:rPr>
        <w:t>funding for this scheme.</w:t>
      </w:r>
    </w:p>
    <w:p w:rsidR="0059709C" w:rsidRPr="00132AF8" w:rsidRDefault="0059709C" w:rsidP="00FC76CD">
      <w:pPr>
        <w:autoSpaceDE w:val="0"/>
        <w:autoSpaceDN w:val="0"/>
        <w:adjustRightInd w:val="0"/>
        <w:spacing w:after="0" w:line="240" w:lineRule="auto"/>
        <w:jc w:val="both"/>
        <w:rPr>
          <w:rFonts w:ascii="Tahoma" w:hAnsi="Tahoma" w:cs="Tahoma"/>
          <w:b/>
          <w:sz w:val="24"/>
          <w:szCs w:val="24"/>
        </w:rPr>
      </w:pPr>
    </w:p>
    <w:p w:rsidR="00350D43" w:rsidRPr="00132AF8" w:rsidRDefault="0059709C"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5.12</w:t>
      </w:r>
      <w:r w:rsidR="00CC6B84" w:rsidRPr="00132AF8">
        <w:rPr>
          <w:rFonts w:ascii="Tahoma" w:hAnsi="Tahoma" w:cs="Tahoma"/>
          <w:sz w:val="24"/>
          <w:szCs w:val="24"/>
        </w:rPr>
        <w:t xml:space="preserve"> </w:t>
      </w:r>
      <w:r w:rsidR="003F2672">
        <w:rPr>
          <w:rFonts w:ascii="Tahoma" w:hAnsi="Tahoma" w:cs="Tahoma"/>
          <w:sz w:val="24"/>
          <w:szCs w:val="24"/>
        </w:rPr>
        <w:tab/>
      </w:r>
      <w:r w:rsidR="00EF0295" w:rsidRPr="00132AF8">
        <w:rPr>
          <w:rFonts w:ascii="Tahoma" w:hAnsi="Tahoma" w:cs="Tahoma"/>
          <w:sz w:val="24"/>
          <w:szCs w:val="24"/>
        </w:rPr>
        <w:t xml:space="preserve">The </w:t>
      </w:r>
      <w:r w:rsidR="007C46BA" w:rsidRPr="00132AF8">
        <w:rPr>
          <w:rFonts w:ascii="Tahoma" w:hAnsi="Tahoma" w:cs="Tahoma"/>
          <w:sz w:val="24"/>
          <w:szCs w:val="24"/>
        </w:rPr>
        <w:t>Newry Southern Relief R</w:t>
      </w:r>
      <w:r w:rsidR="00EF0295" w:rsidRPr="00132AF8">
        <w:rPr>
          <w:rFonts w:ascii="Tahoma" w:hAnsi="Tahoma" w:cs="Tahoma"/>
          <w:sz w:val="24"/>
          <w:szCs w:val="24"/>
        </w:rPr>
        <w:t>oad scheme brings with it</w:t>
      </w:r>
      <w:r w:rsidR="00377B30" w:rsidRPr="00132AF8">
        <w:rPr>
          <w:rFonts w:ascii="Tahoma" w:hAnsi="Tahoma" w:cs="Tahoma"/>
          <w:sz w:val="24"/>
          <w:szCs w:val="24"/>
        </w:rPr>
        <w:t xml:space="preserve"> the pote</w:t>
      </w:r>
      <w:r w:rsidR="00464F42" w:rsidRPr="00132AF8">
        <w:rPr>
          <w:rFonts w:ascii="Tahoma" w:hAnsi="Tahoma" w:cs="Tahoma"/>
          <w:sz w:val="24"/>
          <w:szCs w:val="24"/>
        </w:rPr>
        <w:t xml:space="preserve">ntial for increased demand for </w:t>
      </w:r>
      <w:r w:rsidR="007E7BFA" w:rsidRPr="00132AF8">
        <w:rPr>
          <w:rFonts w:ascii="Tahoma" w:hAnsi="Tahoma" w:cs="Tahoma"/>
          <w:sz w:val="24"/>
          <w:szCs w:val="24"/>
        </w:rPr>
        <w:t>economic development land</w:t>
      </w:r>
      <w:r w:rsidR="000E4762" w:rsidRPr="00132AF8">
        <w:rPr>
          <w:rFonts w:ascii="Tahoma" w:hAnsi="Tahoma" w:cs="Tahoma"/>
          <w:sz w:val="24"/>
          <w:szCs w:val="24"/>
        </w:rPr>
        <w:t xml:space="preserve"> throug</w:t>
      </w:r>
      <w:r w:rsidR="00013293" w:rsidRPr="00132AF8">
        <w:rPr>
          <w:rFonts w:ascii="Tahoma" w:hAnsi="Tahoma" w:cs="Tahoma"/>
          <w:sz w:val="24"/>
          <w:szCs w:val="24"/>
        </w:rPr>
        <w:t xml:space="preserve">h improved connectivity to </w:t>
      </w:r>
      <w:proofErr w:type="spellStart"/>
      <w:r w:rsidR="001903A9" w:rsidRPr="00132AF8">
        <w:rPr>
          <w:rFonts w:ascii="Tahoma" w:hAnsi="Tahoma" w:cs="Tahoma"/>
          <w:sz w:val="24"/>
          <w:szCs w:val="24"/>
        </w:rPr>
        <w:t>Warrenpoint</w:t>
      </w:r>
      <w:proofErr w:type="spellEnd"/>
      <w:r w:rsidR="001903A9" w:rsidRPr="00132AF8">
        <w:rPr>
          <w:rFonts w:ascii="Tahoma" w:hAnsi="Tahoma" w:cs="Tahoma"/>
          <w:sz w:val="24"/>
          <w:szCs w:val="24"/>
        </w:rPr>
        <w:t xml:space="preserve"> </w:t>
      </w:r>
      <w:r w:rsidR="00013293" w:rsidRPr="00132AF8">
        <w:rPr>
          <w:rFonts w:ascii="Tahoma" w:hAnsi="Tahoma" w:cs="Tahoma"/>
          <w:sz w:val="24"/>
          <w:szCs w:val="24"/>
        </w:rPr>
        <w:t>harbour</w:t>
      </w:r>
      <w:r w:rsidR="000E4762" w:rsidRPr="00132AF8">
        <w:rPr>
          <w:rFonts w:ascii="Tahoma" w:hAnsi="Tahoma" w:cs="Tahoma"/>
          <w:sz w:val="24"/>
          <w:szCs w:val="24"/>
        </w:rPr>
        <w:t xml:space="preserve"> as well a boost to tourism through improved access to the south east coast.</w:t>
      </w:r>
    </w:p>
    <w:p w:rsidR="00CC6B84" w:rsidRDefault="00CC6B84" w:rsidP="004F1F97">
      <w:pPr>
        <w:autoSpaceDE w:val="0"/>
        <w:autoSpaceDN w:val="0"/>
        <w:adjustRightInd w:val="0"/>
        <w:spacing w:after="0" w:line="240" w:lineRule="auto"/>
        <w:rPr>
          <w:rFonts w:ascii="Arial" w:hAnsi="Arial" w:cs="Arial"/>
          <w:sz w:val="24"/>
          <w:szCs w:val="24"/>
        </w:rPr>
      </w:pPr>
    </w:p>
    <w:p w:rsidR="0019114F" w:rsidRDefault="0019114F" w:rsidP="00B94C4F">
      <w:pPr>
        <w:autoSpaceDE w:val="0"/>
        <w:autoSpaceDN w:val="0"/>
        <w:adjustRightInd w:val="0"/>
        <w:spacing w:after="0" w:line="240" w:lineRule="auto"/>
        <w:rPr>
          <w:rFonts w:ascii="Arial" w:hAnsi="Arial" w:cs="Arial"/>
          <w:b/>
          <w:bCs/>
          <w:sz w:val="28"/>
          <w:szCs w:val="28"/>
        </w:rPr>
      </w:pPr>
    </w:p>
    <w:p w:rsidR="00B94C4F" w:rsidRPr="00132AF8" w:rsidRDefault="003F20C9" w:rsidP="00B94C4F">
      <w:pPr>
        <w:autoSpaceDE w:val="0"/>
        <w:autoSpaceDN w:val="0"/>
        <w:adjustRightInd w:val="0"/>
        <w:spacing w:after="0" w:line="240" w:lineRule="auto"/>
        <w:rPr>
          <w:rFonts w:ascii="Tahoma" w:hAnsi="Tahoma" w:cs="Tahoma"/>
          <w:b/>
          <w:bCs/>
          <w:sz w:val="28"/>
          <w:szCs w:val="28"/>
        </w:rPr>
      </w:pPr>
      <w:r w:rsidRPr="00132AF8">
        <w:rPr>
          <w:rFonts w:ascii="Tahoma" w:hAnsi="Tahoma" w:cs="Tahoma"/>
          <w:b/>
          <w:bCs/>
          <w:sz w:val="28"/>
          <w:szCs w:val="28"/>
        </w:rPr>
        <w:t>6</w:t>
      </w:r>
      <w:r w:rsidR="00B94C4F" w:rsidRPr="00132AF8">
        <w:rPr>
          <w:rFonts w:ascii="Tahoma" w:hAnsi="Tahoma" w:cs="Tahoma"/>
          <w:b/>
          <w:bCs/>
          <w:sz w:val="28"/>
          <w:szCs w:val="28"/>
        </w:rPr>
        <w:t xml:space="preserve">.0 </w:t>
      </w:r>
      <w:r w:rsidR="00CE70BD">
        <w:rPr>
          <w:rFonts w:ascii="Tahoma" w:hAnsi="Tahoma" w:cs="Tahoma"/>
          <w:b/>
          <w:bCs/>
          <w:sz w:val="28"/>
          <w:szCs w:val="28"/>
        </w:rPr>
        <w:t>Existing Development</w:t>
      </w:r>
      <w:r w:rsidR="003908B1" w:rsidRPr="00132AF8">
        <w:rPr>
          <w:rFonts w:ascii="Tahoma" w:hAnsi="Tahoma" w:cs="Tahoma"/>
          <w:b/>
          <w:bCs/>
          <w:sz w:val="28"/>
          <w:szCs w:val="28"/>
        </w:rPr>
        <w:t xml:space="preserve"> Plans </w:t>
      </w:r>
      <w:r w:rsidR="00B14B0C">
        <w:rPr>
          <w:rFonts w:ascii="Tahoma" w:hAnsi="Tahoma" w:cs="Tahoma"/>
          <w:b/>
          <w:bCs/>
          <w:sz w:val="28"/>
          <w:szCs w:val="28"/>
        </w:rPr>
        <w:t xml:space="preserve">and land uptake </w:t>
      </w:r>
    </w:p>
    <w:p w:rsidR="003908B1" w:rsidRPr="00132AF8" w:rsidRDefault="003908B1" w:rsidP="00B94C4F">
      <w:pPr>
        <w:autoSpaceDE w:val="0"/>
        <w:autoSpaceDN w:val="0"/>
        <w:adjustRightInd w:val="0"/>
        <w:spacing w:after="0" w:line="240" w:lineRule="auto"/>
        <w:rPr>
          <w:rFonts w:ascii="Tahoma" w:hAnsi="Tahoma" w:cs="Tahoma"/>
          <w:b/>
          <w:bCs/>
          <w:sz w:val="24"/>
          <w:szCs w:val="24"/>
        </w:rPr>
      </w:pPr>
    </w:p>
    <w:p w:rsidR="003908B1" w:rsidRPr="00132AF8" w:rsidRDefault="003F20C9" w:rsidP="00FC76C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6</w:t>
      </w:r>
      <w:r w:rsidR="003908B1" w:rsidRPr="00132AF8">
        <w:rPr>
          <w:rFonts w:ascii="Tahoma" w:hAnsi="Tahoma" w:cs="Tahoma"/>
          <w:b/>
          <w:bCs/>
          <w:sz w:val="24"/>
          <w:szCs w:val="24"/>
        </w:rPr>
        <w:t>.1</w:t>
      </w:r>
      <w:r w:rsidR="003908B1" w:rsidRPr="00132AF8">
        <w:rPr>
          <w:rFonts w:ascii="Tahoma" w:hAnsi="Tahoma" w:cs="Tahoma"/>
          <w:bCs/>
          <w:sz w:val="24"/>
          <w:szCs w:val="24"/>
        </w:rPr>
        <w:t xml:space="preserve"> </w:t>
      </w:r>
      <w:r w:rsidR="003F2672">
        <w:rPr>
          <w:rFonts w:ascii="Tahoma" w:hAnsi="Tahoma" w:cs="Tahoma"/>
          <w:bCs/>
          <w:sz w:val="24"/>
          <w:szCs w:val="24"/>
        </w:rPr>
        <w:tab/>
      </w:r>
      <w:r w:rsidR="003908B1" w:rsidRPr="00132AF8">
        <w:rPr>
          <w:rFonts w:ascii="Tahoma" w:hAnsi="Tahoma" w:cs="Tahoma"/>
          <w:bCs/>
          <w:sz w:val="24"/>
          <w:szCs w:val="24"/>
        </w:rPr>
        <w:t xml:space="preserve">Each of the </w:t>
      </w:r>
      <w:r w:rsidR="00DF7BBC" w:rsidRPr="00132AF8">
        <w:rPr>
          <w:rFonts w:ascii="Tahoma" w:hAnsi="Tahoma" w:cs="Tahoma"/>
          <w:bCs/>
          <w:sz w:val="24"/>
          <w:szCs w:val="24"/>
        </w:rPr>
        <w:t xml:space="preserve">two existing </w:t>
      </w:r>
      <w:r w:rsidR="008536FF">
        <w:rPr>
          <w:rFonts w:ascii="Tahoma" w:hAnsi="Tahoma" w:cs="Tahoma"/>
          <w:bCs/>
          <w:sz w:val="24"/>
          <w:szCs w:val="24"/>
        </w:rPr>
        <w:t>D</w:t>
      </w:r>
      <w:r w:rsidR="00CE70BD">
        <w:rPr>
          <w:rFonts w:ascii="Tahoma" w:hAnsi="Tahoma" w:cs="Tahoma"/>
          <w:bCs/>
          <w:sz w:val="24"/>
          <w:szCs w:val="24"/>
        </w:rPr>
        <w:t>evelopment</w:t>
      </w:r>
      <w:r w:rsidR="008536FF">
        <w:rPr>
          <w:rFonts w:ascii="Tahoma" w:hAnsi="Tahoma" w:cs="Tahoma"/>
          <w:bCs/>
          <w:sz w:val="24"/>
          <w:szCs w:val="24"/>
        </w:rPr>
        <w:t xml:space="preserve"> P</w:t>
      </w:r>
      <w:r w:rsidR="003908B1" w:rsidRPr="00132AF8">
        <w:rPr>
          <w:rFonts w:ascii="Tahoma" w:hAnsi="Tahoma" w:cs="Tahoma"/>
          <w:bCs/>
          <w:sz w:val="24"/>
          <w:szCs w:val="24"/>
        </w:rPr>
        <w:t>lans which currently cover the New</w:t>
      </w:r>
      <w:r w:rsidR="00CE70BD">
        <w:rPr>
          <w:rFonts w:ascii="Tahoma" w:hAnsi="Tahoma" w:cs="Tahoma"/>
          <w:bCs/>
          <w:sz w:val="24"/>
          <w:szCs w:val="24"/>
        </w:rPr>
        <w:t xml:space="preserve">ry, </w:t>
      </w:r>
      <w:proofErr w:type="spellStart"/>
      <w:r w:rsidR="00CE70BD">
        <w:rPr>
          <w:rFonts w:ascii="Tahoma" w:hAnsi="Tahoma" w:cs="Tahoma"/>
          <w:bCs/>
          <w:sz w:val="24"/>
          <w:szCs w:val="24"/>
        </w:rPr>
        <w:t>Mourne</w:t>
      </w:r>
      <w:proofErr w:type="spellEnd"/>
      <w:r w:rsidR="00CE70BD">
        <w:rPr>
          <w:rFonts w:ascii="Tahoma" w:hAnsi="Tahoma" w:cs="Tahoma"/>
          <w:bCs/>
          <w:sz w:val="24"/>
          <w:szCs w:val="24"/>
        </w:rPr>
        <w:t xml:space="preserve"> and Down Council area</w:t>
      </w:r>
      <w:r w:rsidR="003908B1" w:rsidRPr="00132AF8">
        <w:rPr>
          <w:rFonts w:ascii="Tahoma" w:hAnsi="Tahoma" w:cs="Tahoma"/>
          <w:bCs/>
          <w:sz w:val="24"/>
          <w:szCs w:val="24"/>
        </w:rPr>
        <w:t xml:space="preserve"> set out their approach to facilitating industry and business uses within their respective Plan Strategies. This section discusses the amount of land zoned for econom</w:t>
      </w:r>
      <w:r w:rsidR="00CE70BD">
        <w:rPr>
          <w:rFonts w:ascii="Tahoma" w:hAnsi="Tahoma" w:cs="Tahoma"/>
          <w:bCs/>
          <w:sz w:val="24"/>
          <w:szCs w:val="24"/>
        </w:rPr>
        <w:t>ic development uses in each Development</w:t>
      </w:r>
      <w:r w:rsidR="003908B1" w:rsidRPr="00132AF8">
        <w:rPr>
          <w:rFonts w:ascii="Tahoma" w:hAnsi="Tahoma" w:cs="Tahoma"/>
          <w:bCs/>
          <w:sz w:val="24"/>
          <w:szCs w:val="24"/>
        </w:rPr>
        <w:t xml:space="preserve"> Plan and how much of this land remains.</w:t>
      </w:r>
      <w:r w:rsidR="00275D7A" w:rsidRPr="00132AF8">
        <w:rPr>
          <w:rFonts w:ascii="Tahoma" w:hAnsi="Tahoma" w:cs="Tahoma"/>
          <w:sz w:val="24"/>
          <w:szCs w:val="24"/>
        </w:rPr>
        <w:t xml:space="preserve"> </w:t>
      </w:r>
      <w:r w:rsidR="00275D7A" w:rsidRPr="00132AF8">
        <w:rPr>
          <w:rFonts w:ascii="Tahoma" w:hAnsi="Tahoma" w:cs="Tahoma"/>
          <w:bCs/>
          <w:sz w:val="24"/>
          <w:szCs w:val="24"/>
        </w:rPr>
        <w:t>The amounts zoned were considered sufficient to meet overall industrial needs to the end of the respective plan periods.</w:t>
      </w:r>
      <w:r w:rsidR="007173C8" w:rsidRPr="00132AF8">
        <w:rPr>
          <w:rFonts w:ascii="Tahoma" w:hAnsi="Tahoma" w:cs="Tahoma"/>
        </w:rPr>
        <w:t xml:space="preserve"> </w:t>
      </w:r>
      <w:r w:rsidR="007173C8" w:rsidRPr="00132AF8">
        <w:rPr>
          <w:rFonts w:ascii="Tahoma" w:hAnsi="Tahoma" w:cs="Tahoma"/>
          <w:bCs/>
          <w:sz w:val="24"/>
          <w:szCs w:val="24"/>
        </w:rPr>
        <w:t>Some scope for industrial development on white land</w:t>
      </w:r>
      <w:r w:rsidR="001F061D" w:rsidRPr="00132AF8">
        <w:rPr>
          <w:rStyle w:val="FootnoteReference"/>
          <w:rFonts w:ascii="Tahoma" w:hAnsi="Tahoma" w:cs="Tahoma"/>
          <w:bCs/>
          <w:sz w:val="24"/>
          <w:szCs w:val="24"/>
        </w:rPr>
        <w:footnoteReference w:id="27"/>
      </w:r>
      <w:r w:rsidR="007173C8" w:rsidRPr="00132AF8">
        <w:rPr>
          <w:rFonts w:ascii="Tahoma" w:hAnsi="Tahoma" w:cs="Tahoma"/>
          <w:bCs/>
          <w:sz w:val="24"/>
          <w:szCs w:val="24"/>
        </w:rPr>
        <w:t xml:space="preserve"> was also anticipated with further opportunities for employment provided by mixed business zoning in and the restructuring and subdivision of existing or underused industrial premises. Surveys carried out by the Development Plan Team have identified remaining capacity within the cur</w:t>
      </w:r>
      <w:r w:rsidR="008540A1" w:rsidRPr="00132AF8">
        <w:rPr>
          <w:rFonts w:ascii="Tahoma" w:hAnsi="Tahoma" w:cs="Tahoma"/>
          <w:bCs/>
          <w:sz w:val="24"/>
          <w:szCs w:val="24"/>
        </w:rPr>
        <w:t>rent industrial zonings (Table 7</w:t>
      </w:r>
      <w:r w:rsidR="007173C8" w:rsidRPr="00132AF8">
        <w:rPr>
          <w:rFonts w:ascii="Tahoma" w:hAnsi="Tahoma" w:cs="Tahoma"/>
          <w:bCs/>
          <w:sz w:val="24"/>
          <w:szCs w:val="24"/>
        </w:rPr>
        <w:t>).</w:t>
      </w:r>
    </w:p>
    <w:p w:rsidR="003908B1" w:rsidRPr="00132AF8" w:rsidRDefault="003908B1" w:rsidP="00FC76CD">
      <w:pPr>
        <w:autoSpaceDE w:val="0"/>
        <w:autoSpaceDN w:val="0"/>
        <w:adjustRightInd w:val="0"/>
        <w:spacing w:after="0" w:line="240" w:lineRule="auto"/>
        <w:jc w:val="both"/>
        <w:rPr>
          <w:rFonts w:ascii="Tahoma" w:hAnsi="Tahoma" w:cs="Tahoma"/>
          <w:bCs/>
          <w:sz w:val="24"/>
          <w:szCs w:val="24"/>
        </w:rPr>
      </w:pPr>
    </w:p>
    <w:p w:rsidR="003908B1" w:rsidRPr="00132AF8" w:rsidRDefault="003F20C9" w:rsidP="00FC76C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6</w:t>
      </w:r>
      <w:r w:rsidR="00AC65CB" w:rsidRPr="00132AF8">
        <w:rPr>
          <w:rFonts w:ascii="Tahoma" w:hAnsi="Tahoma" w:cs="Tahoma"/>
          <w:b/>
          <w:bCs/>
          <w:sz w:val="24"/>
          <w:szCs w:val="24"/>
        </w:rPr>
        <w:t>.2</w:t>
      </w:r>
      <w:r w:rsidR="00AC65CB" w:rsidRPr="00132AF8">
        <w:rPr>
          <w:rFonts w:ascii="Tahoma" w:hAnsi="Tahoma" w:cs="Tahoma"/>
          <w:bCs/>
          <w:sz w:val="24"/>
          <w:szCs w:val="24"/>
        </w:rPr>
        <w:t xml:space="preserve"> </w:t>
      </w:r>
      <w:r w:rsidR="003F2672">
        <w:rPr>
          <w:rFonts w:ascii="Tahoma" w:hAnsi="Tahoma" w:cs="Tahoma"/>
          <w:bCs/>
          <w:sz w:val="24"/>
          <w:szCs w:val="24"/>
        </w:rPr>
        <w:tab/>
      </w:r>
      <w:r w:rsidR="003908B1" w:rsidRPr="00132AF8">
        <w:rPr>
          <w:rFonts w:ascii="Tahoma" w:hAnsi="Tahoma" w:cs="Tahoma"/>
          <w:bCs/>
          <w:sz w:val="24"/>
          <w:szCs w:val="24"/>
        </w:rPr>
        <w:t>Economic development uses comprise</w:t>
      </w:r>
      <w:r w:rsidR="003326BD" w:rsidRPr="00132AF8">
        <w:rPr>
          <w:rFonts w:ascii="Tahoma" w:hAnsi="Tahoma" w:cs="Tahoma"/>
          <w:bCs/>
          <w:sz w:val="24"/>
          <w:szCs w:val="24"/>
        </w:rPr>
        <w:t xml:space="preserve"> general industrial land (Class B2), light industrial (Class B2), business (Class B1) and storage or distribution (class B4) as currently defined in the Planning (Use Classes) Order Northern Ireland 2015.</w:t>
      </w:r>
      <w:r w:rsidR="00882524" w:rsidRPr="00132AF8">
        <w:rPr>
          <w:rFonts w:ascii="Tahoma" w:hAnsi="Tahoma" w:cs="Tahoma"/>
          <w:bCs/>
          <w:sz w:val="24"/>
          <w:szCs w:val="24"/>
        </w:rPr>
        <w:t xml:space="preserve"> </w:t>
      </w:r>
    </w:p>
    <w:p w:rsidR="003326BD" w:rsidRPr="00132AF8" w:rsidRDefault="003326BD" w:rsidP="00FC76CD">
      <w:pPr>
        <w:autoSpaceDE w:val="0"/>
        <w:autoSpaceDN w:val="0"/>
        <w:adjustRightInd w:val="0"/>
        <w:spacing w:after="0" w:line="240" w:lineRule="auto"/>
        <w:jc w:val="both"/>
        <w:rPr>
          <w:rFonts w:ascii="Tahoma" w:hAnsi="Tahoma" w:cs="Tahoma"/>
          <w:bCs/>
          <w:sz w:val="24"/>
          <w:szCs w:val="24"/>
        </w:rPr>
      </w:pPr>
    </w:p>
    <w:p w:rsidR="003326BD" w:rsidRPr="00132AF8" w:rsidRDefault="003F20C9" w:rsidP="00FC76CD">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6</w:t>
      </w:r>
      <w:r w:rsidR="00AC65CB" w:rsidRPr="00132AF8">
        <w:rPr>
          <w:rFonts w:ascii="Tahoma" w:hAnsi="Tahoma" w:cs="Tahoma"/>
          <w:b/>
          <w:bCs/>
          <w:sz w:val="24"/>
          <w:szCs w:val="24"/>
        </w:rPr>
        <w:t>.3</w:t>
      </w:r>
      <w:r w:rsidR="00AC65CB" w:rsidRPr="00132AF8">
        <w:rPr>
          <w:rFonts w:ascii="Tahoma" w:hAnsi="Tahoma" w:cs="Tahoma"/>
          <w:bCs/>
          <w:sz w:val="24"/>
          <w:szCs w:val="24"/>
        </w:rPr>
        <w:t xml:space="preserve"> </w:t>
      </w:r>
      <w:r w:rsidR="003F2672">
        <w:rPr>
          <w:rFonts w:ascii="Tahoma" w:hAnsi="Tahoma" w:cs="Tahoma"/>
          <w:bCs/>
          <w:sz w:val="24"/>
          <w:szCs w:val="24"/>
        </w:rPr>
        <w:tab/>
      </w:r>
      <w:r w:rsidR="003326BD" w:rsidRPr="00132AF8">
        <w:rPr>
          <w:rFonts w:ascii="Tahoma" w:hAnsi="Tahoma" w:cs="Tahoma"/>
          <w:bCs/>
          <w:sz w:val="24"/>
          <w:szCs w:val="24"/>
        </w:rPr>
        <w:t xml:space="preserve">Under </w:t>
      </w:r>
      <w:r w:rsidR="00275D7A" w:rsidRPr="00132AF8">
        <w:rPr>
          <w:rFonts w:ascii="Tahoma" w:hAnsi="Tahoma" w:cs="Tahoma"/>
          <w:bCs/>
          <w:sz w:val="24"/>
          <w:szCs w:val="24"/>
        </w:rPr>
        <w:t xml:space="preserve">the provisions of </w:t>
      </w:r>
      <w:r w:rsidR="00DF7BBC" w:rsidRPr="00132AF8">
        <w:rPr>
          <w:rFonts w:ascii="Tahoma" w:hAnsi="Tahoma" w:cs="Tahoma"/>
          <w:bCs/>
          <w:sz w:val="24"/>
          <w:szCs w:val="24"/>
        </w:rPr>
        <w:t>PPS</w:t>
      </w:r>
      <w:r w:rsidR="003D3417" w:rsidRPr="00132AF8">
        <w:rPr>
          <w:rFonts w:ascii="Tahoma" w:hAnsi="Tahoma" w:cs="Tahoma"/>
          <w:bCs/>
          <w:sz w:val="24"/>
          <w:szCs w:val="24"/>
        </w:rPr>
        <w:t xml:space="preserve"> </w:t>
      </w:r>
      <w:r w:rsidR="003326BD" w:rsidRPr="00132AF8">
        <w:rPr>
          <w:rFonts w:ascii="Tahoma" w:hAnsi="Tahoma" w:cs="Tahoma"/>
          <w:bCs/>
          <w:sz w:val="24"/>
          <w:szCs w:val="24"/>
        </w:rPr>
        <w:t xml:space="preserve">4 industrial zonings can comprise of </w:t>
      </w:r>
      <w:r w:rsidR="00275D7A" w:rsidRPr="00132AF8">
        <w:rPr>
          <w:rFonts w:ascii="Tahoma" w:hAnsi="Tahoma" w:cs="Tahoma"/>
          <w:bCs/>
          <w:sz w:val="24"/>
          <w:szCs w:val="24"/>
        </w:rPr>
        <w:t xml:space="preserve">both </w:t>
      </w:r>
      <w:r w:rsidR="003326BD" w:rsidRPr="00132AF8">
        <w:rPr>
          <w:rFonts w:ascii="Tahoma" w:hAnsi="Tahoma" w:cs="Tahoma"/>
          <w:bCs/>
          <w:sz w:val="24"/>
          <w:szCs w:val="24"/>
        </w:rPr>
        <w:t xml:space="preserve">proposed and existing industrial lands </w:t>
      </w:r>
      <w:r w:rsidR="00275D7A" w:rsidRPr="00132AF8">
        <w:rPr>
          <w:rFonts w:ascii="Tahoma" w:hAnsi="Tahoma" w:cs="Tahoma"/>
          <w:bCs/>
          <w:sz w:val="24"/>
          <w:szCs w:val="24"/>
        </w:rPr>
        <w:t xml:space="preserve">in order </w:t>
      </w:r>
      <w:r w:rsidR="003326BD" w:rsidRPr="00132AF8">
        <w:rPr>
          <w:rFonts w:ascii="Tahoma" w:hAnsi="Tahoma" w:cs="Tahoma"/>
          <w:bCs/>
          <w:sz w:val="24"/>
          <w:szCs w:val="24"/>
        </w:rPr>
        <w:t xml:space="preserve">to </w:t>
      </w:r>
      <w:r w:rsidR="00275D7A" w:rsidRPr="00132AF8">
        <w:rPr>
          <w:rFonts w:ascii="Tahoma" w:hAnsi="Tahoma" w:cs="Tahoma"/>
          <w:bCs/>
          <w:sz w:val="24"/>
          <w:szCs w:val="24"/>
        </w:rPr>
        <w:t xml:space="preserve">not only </w:t>
      </w:r>
      <w:r w:rsidR="003326BD" w:rsidRPr="00132AF8">
        <w:rPr>
          <w:rFonts w:ascii="Tahoma" w:hAnsi="Tahoma" w:cs="Tahoma"/>
          <w:bCs/>
          <w:sz w:val="24"/>
          <w:szCs w:val="24"/>
        </w:rPr>
        <w:t xml:space="preserve">allow for future industrial development but to </w:t>
      </w:r>
      <w:r w:rsidR="00275D7A" w:rsidRPr="00132AF8">
        <w:rPr>
          <w:rFonts w:ascii="Tahoma" w:hAnsi="Tahoma" w:cs="Tahoma"/>
          <w:bCs/>
          <w:sz w:val="24"/>
          <w:szCs w:val="24"/>
        </w:rPr>
        <w:t>protect existing land for economic purposes.</w:t>
      </w:r>
    </w:p>
    <w:p w:rsidR="004D5A57" w:rsidRDefault="004D5A57" w:rsidP="00B94C4F">
      <w:pPr>
        <w:autoSpaceDE w:val="0"/>
        <w:autoSpaceDN w:val="0"/>
        <w:adjustRightInd w:val="0"/>
        <w:spacing w:after="0" w:line="240" w:lineRule="auto"/>
        <w:rPr>
          <w:rFonts w:ascii="Arial" w:hAnsi="Arial" w:cs="Arial"/>
          <w:bCs/>
          <w:sz w:val="24"/>
          <w:szCs w:val="24"/>
        </w:rPr>
      </w:pPr>
    </w:p>
    <w:p w:rsidR="000E4762" w:rsidRDefault="000E4762" w:rsidP="00B94C4F">
      <w:pPr>
        <w:autoSpaceDE w:val="0"/>
        <w:autoSpaceDN w:val="0"/>
        <w:adjustRightInd w:val="0"/>
        <w:spacing w:after="0" w:line="240" w:lineRule="auto"/>
        <w:rPr>
          <w:rFonts w:ascii="Arial" w:hAnsi="Arial" w:cs="Arial"/>
          <w:bCs/>
          <w:sz w:val="24"/>
          <w:szCs w:val="24"/>
        </w:rPr>
      </w:pPr>
    </w:p>
    <w:p w:rsidR="00132AF8" w:rsidRDefault="00132AF8" w:rsidP="00B94C4F">
      <w:pPr>
        <w:autoSpaceDE w:val="0"/>
        <w:autoSpaceDN w:val="0"/>
        <w:adjustRightInd w:val="0"/>
        <w:spacing w:after="0" w:line="240" w:lineRule="auto"/>
        <w:rPr>
          <w:rFonts w:ascii="Arial" w:hAnsi="Arial" w:cs="Arial"/>
          <w:bCs/>
          <w:sz w:val="24"/>
          <w:szCs w:val="24"/>
        </w:rPr>
      </w:pPr>
    </w:p>
    <w:p w:rsidR="00132AF8" w:rsidRDefault="00132AF8" w:rsidP="00B94C4F">
      <w:pPr>
        <w:autoSpaceDE w:val="0"/>
        <w:autoSpaceDN w:val="0"/>
        <w:adjustRightInd w:val="0"/>
        <w:spacing w:after="0" w:line="240" w:lineRule="auto"/>
        <w:rPr>
          <w:rFonts w:ascii="Arial" w:hAnsi="Arial" w:cs="Arial"/>
          <w:bCs/>
          <w:sz w:val="24"/>
          <w:szCs w:val="24"/>
        </w:rPr>
      </w:pPr>
    </w:p>
    <w:p w:rsidR="00B14B0C" w:rsidRDefault="00B14B0C" w:rsidP="00B94C4F">
      <w:pPr>
        <w:autoSpaceDE w:val="0"/>
        <w:autoSpaceDN w:val="0"/>
        <w:adjustRightInd w:val="0"/>
        <w:spacing w:after="0" w:line="240" w:lineRule="auto"/>
        <w:rPr>
          <w:rFonts w:ascii="Arial" w:hAnsi="Arial" w:cs="Arial"/>
          <w:bCs/>
          <w:sz w:val="24"/>
          <w:szCs w:val="24"/>
        </w:rPr>
      </w:pPr>
    </w:p>
    <w:p w:rsidR="003908B1" w:rsidRPr="00132AF8" w:rsidRDefault="003908B1" w:rsidP="00B94C4F">
      <w:pPr>
        <w:autoSpaceDE w:val="0"/>
        <w:autoSpaceDN w:val="0"/>
        <w:adjustRightInd w:val="0"/>
        <w:spacing w:after="0" w:line="240" w:lineRule="auto"/>
        <w:rPr>
          <w:rFonts w:ascii="Tahoma" w:hAnsi="Tahoma" w:cs="Tahoma"/>
          <w:b/>
          <w:bCs/>
          <w:sz w:val="24"/>
          <w:szCs w:val="24"/>
        </w:rPr>
      </w:pPr>
      <w:proofErr w:type="spellStart"/>
      <w:r w:rsidRPr="00132AF8">
        <w:rPr>
          <w:rFonts w:ascii="Tahoma" w:hAnsi="Tahoma" w:cs="Tahoma"/>
          <w:b/>
          <w:bCs/>
          <w:sz w:val="24"/>
          <w:szCs w:val="24"/>
        </w:rPr>
        <w:lastRenderedPageBreak/>
        <w:t>Banbridge</w:t>
      </w:r>
      <w:proofErr w:type="spellEnd"/>
      <w:r w:rsidRPr="00132AF8">
        <w:rPr>
          <w:rFonts w:ascii="Tahoma" w:hAnsi="Tahoma" w:cs="Tahoma"/>
          <w:b/>
          <w:bCs/>
          <w:sz w:val="24"/>
          <w:szCs w:val="24"/>
        </w:rPr>
        <w:t xml:space="preserve">, Newry and </w:t>
      </w:r>
      <w:proofErr w:type="spellStart"/>
      <w:r w:rsidRPr="00132AF8">
        <w:rPr>
          <w:rFonts w:ascii="Tahoma" w:hAnsi="Tahoma" w:cs="Tahoma"/>
          <w:b/>
          <w:bCs/>
          <w:sz w:val="24"/>
          <w:szCs w:val="24"/>
        </w:rPr>
        <w:t>Mourne</w:t>
      </w:r>
      <w:proofErr w:type="spellEnd"/>
      <w:r w:rsidRPr="00132AF8">
        <w:rPr>
          <w:rFonts w:ascii="Tahoma" w:hAnsi="Tahoma" w:cs="Tahoma"/>
          <w:b/>
          <w:bCs/>
          <w:sz w:val="24"/>
          <w:szCs w:val="24"/>
        </w:rPr>
        <w:t xml:space="preserve"> Area Plan </w:t>
      </w:r>
      <w:r w:rsidR="003326BD" w:rsidRPr="00132AF8">
        <w:rPr>
          <w:rFonts w:ascii="Tahoma" w:hAnsi="Tahoma" w:cs="Tahoma"/>
          <w:b/>
          <w:bCs/>
          <w:sz w:val="24"/>
          <w:szCs w:val="24"/>
        </w:rPr>
        <w:t xml:space="preserve">(BNMAP) </w:t>
      </w:r>
      <w:r w:rsidRPr="00132AF8">
        <w:rPr>
          <w:rFonts w:ascii="Tahoma" w:hAnsi="Tahoma" w:cs="Tahoma"/>
          <w:b/>
          <w:bCs/>
          <w:sz w:val="24"/>
          <w:szCs w:val="24"/>
        </w:rPr>
        <w:t>2015</w:t>
      </w:r>
    </w:p>
    <w:p w:rsidR="003908B1" w:rsidRPr="00132AF8" w:rsidRDefault="003908B1" w:rsidP="00B94C4F">
      <w:pPr>
        <w:autoSpaceDE w:val="0"/>
        <w:autoSpaceDN w:val="0"/>
        <w:adjustRightInd w:val="0"/>
        <w:spacing w:after="0" w:line="240" w:lineRule="auto"/>
        <w:rPr>
          <w:rFonts w:ascii="Tahoma" w:hAnsi="Tahoma" w:cs="Tahoma"/>
          <w:bCs/>
          <w:sz w:val="24"/>
          <w:szCs w:val="24"/>
        </w:rPr>
      </w:pPr>
    </w:p>
    <w:p w:rsidR="007469E9" w:rsidRPr="00132AF8" w:rsidRDefault="003F20C9" w:rsidP="00FC76CD">
      <w:pPr>
        <w:autoSpaceDE w:val="0"/>
        <w:autoSpaceDN w:val="0"/>
        <w:adjustRightInd w:val="0"/>
        <w:spacing w:after="0" w:line="240" w:lineRule="auto"/>
        <w:jc w:val="both"/>
        <w:rPr>
          <w:rFonts w:ascii="Tahoma" w:hAnsi="Tahoma" w:cs="Tahoma"/>
          <w:color w:val="FF0000"/>
          <w:sz w:val="24"/>
          <w:szCs w:val="24"/>
        </w:rPr>
      </w:pPr>
      <w:r w:rsidRPr="00132AF8">
        <w:rPr>
          <w:rFonts w:ascii="Tahoma" w:hAnsi="Tahoma" w:cs="Tahoma"/>
          <w:b/>
          <w:bCs/>
          <w:sz w:val="24"/>
          <w:szCs w:val="24"/>
        </w:rPr>
        <w:t>6</w:t>
      </w:r>
      <w:r w:rsidR="00AC65CB" w:rsidRPr="00132AF8">
        <w:rPr>
          <w:rFonts w:ascii="Tahoma" w:hAnsi="Tahoma" w:cs="Tahoma"/>
          <w:b/>
          <w:bCs/>
          <w:sz w:val="24"/>
          <w:szCs w:val="24"/>
        </w:rPr>
        <w:t>.4</w:t>
      </w:r>
      <w:r w:rsidR="00B94C4F" w:rsidRPr="00132AF8">
        <w:rPr>
          <w:rFonts w:ascii="Tahoma" w:hAnsi="Tahoma" w:cs="Tahoma"/>
          <w:b/>
          <w:bCs/>
          <w:sz w:val="24"/>
          <w:szCs w:val="24"/>
        </w:rPr>
        <w:t xml:space="preserve"> </w:t>
      </w:r>
      <w:r w:rsidR="003F2672">
        <w:rPr>
          <w:rFonts w:ascii="Tahoma" w:hAnsi="Tahoma" w:cs="Tahoma"/>
          <w:b/>
          <w:bCs/>
          <w:sz w:val="24"/>
          <w:szCs w:val="24"/>
        </w:rPr>
        <w:tab/>
      </w:r>
      <w:r w:rsidR="00B94C4F" w:rsidRPr="00132AF8">
        <w:rPr>
          <w:rFonts w:ascii="Tahoma" w:hAnsi="Tahoma" w:cs="Tahoma"/>
          <w:sz w:val="24"/>
          <w:szCs w:val="24"/>
        </w:rPr>
        <w:t>T</w:t>
      </w:r>
      <w:r w:rsidR="003326BD" w:rsidRPr="00132AF8">
        <w:rPr>
          <w:rFonts w:ascii="Tahoma" w:hAnsi="Tahoma" w:cs="Tahoma"/>
          <w:sz w:val="24"/>
          <w:szCs w:val="24"/>
        </w:rPr>
        <w:t xml:space="preserve">he </w:t>
      </w:r>
      <w:proofErr w:type="spellStart"/>
      <w:r w:rsidR="00F04D3A" w:rsidRPr="00132AF8">
        <w:rPr>
          <w:rFonts w:ascii="Tahoma" w:hAnsi="Tahoma" w:cs="Tahoma"/>
          <w:sz w:val="24"/>
          <w:szCs w:val="24"/>
        </w:rPr>
        <w:t>Banbridge</w:t>
      </w:r>
      <w:proofErr w:type="spellEnd"/>
      <w:r w:rsidR="00F04D3A" w:rsidRPr="00132AF8">
        <w:rPr>
          <w:rFonts w:ascii="Tahoma" w:hAnsi="Tahoma" w:cs="Tahoma"/>
          <w:sz w:val="24"/>
          <w:szCs w:val="24"/>
        </w:rPr>
        <w:t xml:space="preserve">/Newry and </w:t>
      </w:r>
      <w:proofErr w:type="spellStart"/>
      <w:r w:rsidR="00F04D3A" w:rsidRPr="00132AF8">
        <w:rPr>
          <w:rFonts w:ascii="Tahoma" w:hAnsi="Tahoma" w:cs="Tahoma"/>
          <w:sz w:val="24"/>
          <w:szCs w:val="24"/>
        </w:rPr>
        <w:t>Mourne</w:t>
      </w:r>
      <w:proofErr w:type="spellEnd"/>
      <w:r w:rsidR="00F04D3A" w:rsidRPr="00132AF8">
        <w:rPr>
          <w:rFonts w:ascii="Tahoma" w:hAnsi="Tahoma" w:cs="Tahoma"/>
          <w:sz w:val="24"/>
          <w:szCs w:val="24"/>
        </w:rPr>
        <w:t xml:space="preserve"> Area Plan (</w:t>
      </w:r>
      <w:r w:rsidR="003326BD" w:rsidRPr="00132AF8">
        <w:rPr>
          <w:rFonts w:ascii="Tahoma" w:hAnsi="Tahoma" w:cs="Tahoma"/>
          <w:sz w:val="24"/>
          <w:szCs w:val="24"/>
        </w:rPr>
        <w:t>BNMAP</w:t>
      </w:r>
      <w:r w:rsidR="00F04D3A" w:rsidRPr="00132AF8">
        <w:rPr>
          <w:rFonts w:ascii="Tahoma" w:hAnsi="Tahoma" w:cs="Tahoma"/>
          <w:sz w:val="24"/>
          <w:szCs w:val="24"/>
        </w:rPr>
        <w:t xml:space="preserve">) </w:t>
      </w:r>
      <w:proofErr w:type="gramStart"/>
      <w:r w:rsidR="00F04D3A" w:rsidRPr="00132AF8">
        <w:rPr>
          <w:rFonts w:ascii="Tahoma" w:hAnsi="Tahoma" w:cs="Tahoma"/>
          <w:sz w:val="24"/>
          <w:szCs w:val="24"/>
        </w:rPr>
        <w:t>was</w:t>
      </w:r>
      <w:proofErr w:type="gramEnd"/>
      <w:r w:rsidR="00F04D3A" w:rsidRPr="00132AF8">
        <w:rPr>
          <w:rFonts w:ascii="Tahoma" w:hAnsi="Tahoma" w:cs="Tahoma"/>
          <w:sz w:val="24"/>
          <w:szCs w:val="24"/>
        </w:rPr>
        <w:t xml:space="preserve"> adopted in October 2013 and is the </w:t>
      </w:r>
      <w:r w:rsidR="008536FF">
        <w:rPr>
          <w:rFonts w:ascii="Tahoma" w:hAnsi="Tahoma" w:cs="Tahoma"/>
          <w:sz w:val="24"/>
          <w:szCs w:val="24"/>
        </w:rPr>
        <w:t>Development</w:t>
      </w:r>
      <w:r w:rsidR="00F04D3A" w:rsidRPr="00132AF8">
        <w:rPr>
          <w:rFonts w:ascii="Tahoma" w:hAnsi="Tahoma" w:cs="Tahoma"/>
          <w:sz w:val="24"/>
          <w:szCs w:val="24"/>
        </w:rPr>
        <w:t xml:space="preserve"> </w:t>
      </w:r>
      <w:r w:rsidR="008536FF">
        <w:rPr>
          <w:rFonts w:ascii="Tahoma" w:hAnsi="Tahoma" w:cs="Tahoma"/>
          <w:sz w:val="24"/>
          <w:szCs w:val="24"/>
        </w:rPr>
        <w:t>P</w:t>
      </w:r>
      <w:r w:rsidR="00F04D3A" w:rsidRPr="00132AF8">
        <w:rPr>
          <w:rFonts w:ascii="Tahoma" w:hAnsi="Tahoma" w:cs="Tahoma"/>
          <w:sz w:val="24"/>
          <w:szCs w:val="24"/>
        </w:rPr>
        <w:t xml:space="preserve">lan </w:t>
      </w:r>
      <w:r w:rsidR="00C22CA8" w:rsidRPr="00132AF8">
        <w:rPr>
          <w:rFonts w:ascii="Tahoma" w:hAnsi="Tahoma" w:cs="Tahoma"/>
          <w:sz w:val="24"/>
          <w:szCs w:val="24"/>
        </w:rPr>
        <w:t xml:space="preserve">that covers the former </w:t>
      </w:r>
      <w:r w:rsidR="00F04D3A" w:rsidRPr="00132AF8">
        <w:rPr>
          <w:rFonts w:ascii="Tahoma" w:hAnsi="Tahoma" w:cs="Tahoma"/>
          <w:sz w:val="24"/>
          <w:szCs w:val="24"/>
        </w:rPr>
        <w:t xml:space="preserve">Newry and </w:t>
      </w:r>
      <w:proofErr w:type="spellStart"/>
      <w:r w:rsidR="00F04D3A" w:rsidRPr="00132AF8">
        <w:rPr>
          <w:rFonts w:ascii="Tahoma" w:hAnsi="Tahoma" w:cs="Tahoma"/>
          <w:sz w:val="24"/>
          <w:szCs w:val="24"/>
        </w:rPr>
        <w:t>Mourne</w:t>
      </w:r>
      <w:proofErr w:type="spellEnd"/>
      <w:r w:rsidR="00F04D3A" w:rsidRPr="00132AF8">
        <w:rPr>
          <w:rFonts w:ascii="Tahoma" w:hAnsi="Tahoma" w:cs="Tahoma"/>
          <w:sz w:val="24"/>
          <w:szCs w:val="24"/>
        </w:rPr>
        <w:t xml:space="preserve"> District</w:t>
      </w:r>
      <w:r w:rsidR="00C22CA8" w:rsidRPr="00132AF8">
        <w:rPr>
          <w:rFonts w:ascii="Tahoma" w:hAnsi="Tahoma" w:cs="Tahoma"/>
          <w:sz w:val="24"/>
          <w:szCs w:val="24"/>
        </w:rPr>
        <w:t xml:space="preserve"> Council area</w:t>
      </w:r>
      <w:r w:rsidR="00F04D3A" w:rsidRPr="00132AF8">
        <w:rPr>
          <w:rFonts w:ascii="Tahoma" w:hAnsi="Tahoma" w:cs="Tahoma"/>
          <w:sz w:val="24"/>
          <w:szCs w:val="24"/>
        </w:rPr>
        <w:t>. It</w:t>
      </w:r>
      <w:r w:rsidR="003326BD" w:rsidRPr="00132AF8">
        <w:rPr>
          <w:rFonts w:ascii="Tahoma" w:hAnsi="Tahoma" w:cs="Tahoma"/>
          <w:sz w:val="24"/>
          <w:szCs w:val="24"/>
        </w:rPr>
        <w:t xml:space="preserve"> zoned </w:t>
      </w:r>
      <w:r w:rsidR="007F3148" w:rsidRPr="00132AF8">
        <w:rPr>
          <w:rFonts w:ascii="Tahoma" w:hAnsi="Tahoma" w:cs="Tahoma"/>
          <w:sz w:val="24"/>
          <w:szCs w:val="24"/>
        </w:rPr>
        <w:t xml:space="preserve">124 hectares of </w:t>
      </w:r>
      <w:r w:rsidR="003326BD" w:rsidRPr="00132AF8">
        <w:rPr>
          <w:rFonts w:ascii="Tahoma" w:hAnsi="Tahoma" w:cs="Tahoma"/>
          <w:sz w:val="24"/>
          <w:szCs w:val="24"/>
        </w:rPr>
        <w:t xml:space="preserve">land for industrial </w:t>
      </w:r>
      <w:r w:rsidR="00B94C4F" w:rsidRPr="00132AF8">
        <w:rPr>
          <w:rFonts w:ascii="Tahoma" w:hAnsi="Tahoma" w:cs="Tahoma"/>
          <w:sz w:val="24"/>
          <w:szCs w:val="24"/>
        </w:rPr>
        <w:t xml:space="preserve">purposes in </w:t>
      </w:r>
      <w:r w:rsidR="007F3148" w:rsidRPr="00132AF8">
        <w:rPr>
          <w:rFonts w:ascii="Tahoma" w:hAnsi="Tahoma" w:cs="Tahoma"/>
          <w:sz w:val="24"/>
          <w:szCs w:val="24"/>
        </w:rPr>
        <w:t>Newry City</w:t>
      </w:r>
      <w:r w:rsidR="00632C8F" w:rsidRPr="00132AF8">
        <w:rPr>
          <w:rFonts w:ascii="Tahoma" w:hAnsi="Tahoma" w:cs="Tahoma"/>
          <w:sz w:val="24"/>
          <w:szCs w:val="24"/>
        </w:rPr>
        <w:t xml:space="preserve"> with a further</w:t>
      </w:r>
      <w:r w:rsidR="00232D74" w:rsidRPr="00132AF8">
        <w:rPr>
          <w:rFonts w:ascii="Tahoma" w:hAnsi="Tahoma" w:cs="Tahoma"/>
          <w:sz w:val="24"/>
          <w:szCs w:val="24"/>
        </w:rPr>
        <w:t xml:space="preserve"> 45.37 </w:t>
      </w:r>
      <w:r w:rsidR="00632C8F" w:rsidRPr="00132AF8">
        <w:rPr>
          <w:rFonts w:ascii="Tahoma" w:hAnsi="Tahoma" w:cs="Tahoma"/>
          <w:sz w:val="24"/>
          <w:szCs w:val="24"/>
        </w:rPr>
        <w:t xml:space="preserve">hectares </w:t>
      </w:r>
      <w:r w:rsidR="007F3148" w:rsidRPr="00132AF8">
        <w:rPr>
          <w:rFonts w:ascii="Tahoma" w:hAnsi="Tahoma" w:cs="Tahoma"/>
          <w:sz w:val="24"/>
          <w:szCs w:val="24"/>
        </w:rPr>
        <w:t xml:space="preserve">distributed across </w:t>
      </w:r>
      <w:r w:rsidR="00B94C4F" w:rsidRPr="00132AF8">
        <w:rPr>
          <w:rFonts w:ascii="Tahoma" w:hAnsi="Tahoma" w:cs="Tahoma"/>
          <w:sz w:val="24"/>
          <w:szCs w:val="24"/>
        </w:rPr>
        <w:t xml:space="preserve">the main towns of </w:t>
      </w:r>
      <w:proofErr w:type="spellStart"/>
      <w:r w:rsidR="00AB054A" w:rsidRPr="00132AF8">
        <w:rPr>
          <w:rFonts w:ascii="Tahoma" w:hAnsi="Tahoma" w:cs="Tahoma"/>
          <w:sz w:val="24"/>
          <w:szCs w:val="24"/>
        </w:rPr>
        <w:t>Crossmaglen</w:t>
      </w:r>
      <w:proofErr w:type="spellEnd"/>
      <w:r w:rsidR="00AB054A" w:rsidRPr="00132AF8">
        <w:rPr>
          <w:rFonts w:ascii="Tahoma" w:hAnsi="Tahoma" w:cs="Tahoma"/>
          <w:sz w:val="24"/>
          <w:szCs w:val="24"/>
        </w:rPr>
        <w:t xml:space="preserve">, </w:t>
      </w:r>
      <w:proofErr w:type="spellStart"/>
      <w:r w:rsidR="00AB054A" w:rsidRPr="00132AF8">
        <w:rPr>
          <w:rFonts w:ascii="Tahoma" w:hAnsi="Tahoma" w:cs="Tahoma"/>
          <w:sz w:val="24"/>
          <w:szCs w:val="24"/>
        </w:rPr>
        <w:t>Kilkeel</w:t>
      </w:r>
      <w:proofErr w:type="spellEnd"/>
      <w:r w:rsidR="00AB054A" w:rsidRPr="00132AF8">
        <w:rPr>
          <w:rFonts w:ascii="Tahoma" w:hAnsi="Tahoma" w:cs="Tahoma"/>
          <w:sz w:val="24"/>
          <w:szCs w:val="24"/>
        </w:rPr>
        <w:t>,</w:t>
      </w:r>
      <w:r w:rsidR="003326BD" w:rsidRPr="00132AF8">
        <w:rPr>
          <w:rFonts w:ascii="Tahoma" w:hAnsi="Tahoma" w:cs="Tahoma"/>
          <w:sz w:val="24"/>
          <w:szCs w:val="24"/>
        </w:rPr>
        <w:t xml:space="preserve"> </w:t>
      </w:r>
      <w:proofErr w:type="spellStart"/>
      <w:r w:rsidR="003326BD" w:rsidRPr="00132AF8">
        <w:rPr>
          <w:rFonts w:ascii="Tahoma" w:hAnsi="Tahoma" w:cs="Tahoma"/>
          <w:sz w:val="24"/>
          <w:szCs w:val="24"/>
        </w:rPr>
        <w:t>Newtown</w:t>
      </w:r>
      <w:r w:rsidR="00232D74" w:rsidRPr="00132AF8">
        <w:rPr>
          <w:rFonts w:ascii="Tahoma" w:hAnsi="Tahoma" w:cs="Tahoma"/>
          <w:sz w:val="24"/>
          <w:szCs w:val="24"/>
        </w:rPr>
        <w:t>hamilton</w:t>
      </w:r>
      <w:proofErr w:type="spellEnd"/>
      <w:r w:rsidR="00232D74" w:rsidRPr="00132AF8">
        <w:rPr>
          <w:rFonts w:ascii="Tahoma" w:hAnsi="Tahoma" w:cs="Tahoma"/>
          <w:sz w:val="24"/>
          <w:szCs w:val="24"/>
        </w:rPr>
        <w:t xml:space="preserve"> and </w:t>
      </w:r>
      <w:proofErr w:type="spellStart"/>
      <w:r w:rsidR="00232D74" w:rsidRPr="00132AF8">
        <w:rPr>
          <w:rFonts w:ascii="Tahoma" w:hAnsi="Tahoma" w:cs="Tahoma"/>
          <w:sz w:val="24"/>
          <w:szCs w:val="24"/>
        </w:rPr>
        <w:t>Warrenpoint</w:t>
      </w:r>
      <w:proofErr w:type="spellEnd"/>
      <w:r w:rsidR="00232D74" w:rsidRPr="00132AF8">
        <w:rPr>
          <w:rFonts w:ascii="Tahoma" w:hAnsi="Tahoma" w:cs="Tahoma"/>
          <w:sz w:val="24"/>
          <w:szCs w:val="24"/>
        </w:rPr>
        <w:t>/</w:t>
      </w:r>
      <w:proofErr w:type="spellStart"/>
      <w:r w:rsidR="00232D74" w:rsidRPr="00132AF8">
        <w:rPr>
          <w:rFonts w:ascii="Tahoma" w:hAnsi="Tahoma" w:cs="Tahoma"/>
          <w:sz w:val="24"/>
          <w:szCs w:val="24"/>
        </w:rPr>
        <w:t>Burren</w:t>
      </w:r>
      <w:proofErr w:type="spellEnd"/>
      <w:r w:rsidR="00B94C4F" w:rsidRPr="00132AF8">
        <w:rPr>
          <w:rFonts w:ascii="Tahoma" w:hAnsi="Tahoma" w:cs="Tahoma"/>
          <w:sz w:val="24"/>
          <w:szCs w:val="24"/>
        </w:rPr>
        <w:t xml:space="preserve">. </w:t>
      </w:r>
      <w:r w:rsidR="00CD0357" w:rsidRPr="00132AF8">
        <w:rPr>
          <w:rFonts w:ascii="Tahoma" w:hAnsi="Tahoma" w:cs="Tahoma"/>
          <w:sz w:val="24"/>
          <w:szCs w:val="24"/>
        </w:rPr>
        <w:t xml:space="preserve">The plan applied a </w:t>
      </w:r>
      <w:r w:rsidR="004D4827" w:rsidRPr="00132AF8">
        <w:rPr>
          <w:rFonts w:ascii="Tahoma" w:hAnsi="Tahoma" w:cs="Tahoma"/>
          <w:sz w:val="24"/>
          <w:szCs w:val="24"/>
        </w:rPr>
        <w:t xml:space="preserve">minimum standard of </w:t>
      </w:r>
      <w:r w:rsidR="00CD0357" w:rsidRPr="00132AF8">
        <w:rPr>
          <w:rFonts w:ascii="Tahoma" w:hAnsi="Tahoma" w:cs="Tahoma"/>
          <w:sz w:val="24"/>
          <w:szCs w:val="24"/>
        </w:rPr>
        <w:t>10 hectares of economic development land in all town</w:t>
      </w:r>
      <w:r w:rsidR="004D4827" w:rsidRPr="00132AF8">
        <w:rPr>
          <w:rFonts w:ascii="Tahoma" w:hAnsi="Tahoma" w:cs="Tahoma"/>
          <w:sz w:val="24"/>
          <w:szCs w:val="24"/>
        </w:rPr>
        <w:t>s</w:t>
      </w:r>
      <w:r w:rsidR="00CD0357" w:rsidRPr="00132AF8">
        <w:rPr>
          <w:rFonts w:ascii="Tahoma" w:hAnsi="Tahoma" w:cs="Tahoma"/>
          <w:sz w:val="24"/>
          <w:szCs w:val="24"/>
        </w:rPr>
        <w:t xml:space="preserve"> with a population of more than 4,50</w:t>
      </w:r>
      <w:r w:rsidR="004D4827" w:rsidRPr="00132AF8">
        <w:rPr>
          <w:rFonts w:ascii="Tahoma" w:hAnsi="Tahoma" w:cs="Tahoma"/>
          <w:sz w:val="24"/>
          <w:szCs w:val="24"/>
        </w:rPr>
        <w:t xml:space="preserve">0 and </w:t>
      </w:r>
      <w:r w:rsidR="00457B7F" w:rsidRPr="00132AF8">
        <w:rPr>
          <w:rFonts w:ascii="Tahoma" w:hAnsi="Tahoma" w:cs="Tahoma"/>
          <w:sz w:val="24"/>
          <w:szCs w:val="24"/>
        </w:rPr>
        <w:t>subsequently</w:t>
      </w:r>
      <w:r w:rsidR="004D4827" w:rsidRPr="00132AF8">
        <w:rPr>
          <w:rFonts w:ascii="Tahoma" w:hAnsi="Tahoma" w:cs="Tahoma"/>
          <w:sz w:val="24"/>
          <w:szCs w:val="24"/>
        </w:rPr>
        <w:t xml:space="preserve"> </w:t>
      </w:r>
      <w:proofErr w:type="spellStart"/>
      <w:r w:rsidR="004D4827" w:rsidRPr="00132AF8">
        <w:rPr>
          <w:rFonts w:ascii="Tahoma" w:hAnsi="Tahoma" w:cs="Tahoma"/>
          <w:sz w:val="24"/>
          <w:szCs w:val="24"/>
        </w:rPr>
        <w:t>Warrenpoint</w:t>
      </w:r>
      <w:proofErr w:type="spellEnd"/>
      <w:r w:rsidR="004D4827" w:rsidRPr="00132AF8">
        <w:rPr>
          <w:rFonts w:ascii="Tahoma" w:hAnsi="Tahoma" w:cs="Tahoma"/>
          <w:sz w:val="24"/>
          <w:szCs w:val="24"/>
        </w:rPr>
        <w:t>/</w:t>
      </w:r>
      <w:proofErr w:type="spellStart"/>
      <w:r w:rsidR="004D4827" w:rsidRPr="00132AF8">
        <w:rPr>
          <w:rFonts w:ascii="Tahoma" w:hAnsi="Tahoma" w:cs="Tahoma"/>
          <w:sz w:val="24"/>
          <w:szCs w:val="24"/>
        </w:rPr>
        <w:t>Burren</w:t>
      </w:r>
      <w:proofErr w:type="spellEnd"/>
      <w:r w:rsidR="004D4827" w:rsidRPr="00132AF8">
        <w:rPr>
          <w:rFonts w:ascii="Tahoma" w:hAnsi="Tahoma" w:cs="Tahoma"/>
          <w:sz w:val="24"/>
          <w:szCs w:val="24"/>
        </w:rPr>
        <w:t xml:space="preserve"> and </w:t>
      </w:r>
      <w:proofErr w:type="spellStart"/>
      <w:r w:rsidR="004D4827" w:rsidRPr="00132AF8">
        <w:rPr>
          <w:rFonts w:ascii="Tahoma" w:hAnsi="Tahoma" w:cs="Tahoma"/>
          <w:sz w:val="24"/>
          <w:szCs w:val="24"/>
        </w:rPr>
        <w:t>Kilkeel</w:t>
      </w:r>
      <w:proofErr w:type="spellEnd"/>
      <w:r w:rsidR="004D4827" w:rsidRPr="00132AF8">
        <w:rPr>
          <w:rFonts w:ascii="Tahoma" w:hAnsi="Tahoma" w:cs="Tahoma"/>
          <w:sz w:val="24"/>
          <w:szCs w:val="24"/>
        </w:rPr>
        <w:t xml:space="preserve"> </w:t>
      </w:r>
      <w:r w:rsidR="0021556B" w:rsidRPr="00132AF8">
        <w:rPr>
          <w:rFonts w:ascii="Tahoma" w:hAnsi="Tahoma" w:cs="Tahoma"/>
          <w:sz w:val="24"/>
          <w:szCs w:val="24"/>
        </w:rPr>
        <w:t xml:space="preserve">received a greater allocation than </w:t>
      </w:r>
      <w:proofErr w:type="spellStart"/>
      <w:r w:rsidR="0021556B" w:rsidRPr="00132AF8">
        <w:rPr>
          <w:rFonts w:ascii="Tahoma" w:hAnsi="Tahoma" w:cs="Tahoma"/>
          <w:sz w:val="24"/>
          <w:szCs w:val="24"/>
        </w:rPr>
        <w:t>Crossmaglen</w:t>
      </w:r>
      <w:proofErr w:type="spellEnd"/>
      <w:r w:rsidR="0021556B" w:rsidRPr="00132AF8">
        <w:rPr>
          <w:rFonts w:ascii="Tahoma" w:hAnsi="Tahoma" w:cs="Tahoma"/>
          <w:sz w:val="24"/>
          <w:szCs w:val="24"/>
        </w:rPr>
        <w:t xml:space="preserve"> and </w:t>
      </w:r>
      <w:proofErr w:type="spellStart"/>
      <w:r w:rsidR="0021556B" w:rsidRPr="00132AF8">
        <w:rPr>
          <w:rFonts w:ascii="Tahoma" w:hAnsi="Tahoma" w:cs="Tahoma"/>
          <w:sz w:val="24"/>
          <w:szCs w:val="24"/>
        </w:rPr>
        <w:t>Newtownhamilton</w:t>
      </w:r>
      <w:proofErr w:type="spellEnd"/>
      <w:r w:rsidR="0021556B" w:rsidRPr="00132AF8">
        <w:rPr>
          <w:rFonts w:ascii="Tahoma" w:hAnsi="Tahoma" w:cs="Tahoma"/>
          <w:sz w:val="24"/>
          <w:szCs w:val="24"/>
        </w:rPr>
        <w:t xml:space="preserve">. </w:t>
      </w:r>
      <w:r w:rsidR="0000581F" w:rsidRPr="00132AF8">
        <w:rPr>
          <w:rFonts w:ascii="Tahoma" w:hAnsi="Tahoma" w:cs="Tahoma"/>
          <w:sz w:val="24"/>
          <w:szCs w:val="24"/>
        </w:rPr>
        <w:t xml:space="preserve">In order to provide flexibility in employment provision most </w:t>
      </w:r>
      <w:r w:rsidR="00F04D3A" w:rsidRPr="00132AF8">
        <w:rPr>
          <w:rFonts w:ascii="Tahoma" w:hAnsi="Tahoma" w:cs="Tahoma"/>
          <w:sz w:val="24"/>
          <w:szCs w:val="24"/>
        </w:rPr>
        <w:t xml:space="preserve">of the </w:t>
      </w:r>
      <w:r w:rsidR="0000581F" w:rsidRPr="00132AF8">
        <w:rPr>
          <w:rFonts w:ascii="Tahoma" w:hAnsi="Tahoma" w:cs="Tahoma"/>
          <w:sz w:val="24"/>
          <w:szCs w:val="24"/>
        </w:rPr>
        <w:t xml:space="preserve">sites </w:t>
      </w:r>
      <w:r w:rsidR="001047FC" w:rsidRPr="00132AF8">
        <w:rPr>
          <w:rFonts w:ascii="Tahoma" w:hAnsi="Tahoma" w:cs="Tahoma"/>
          <w:sz w:val="24"/>
          <w:szCs w:val="24"/>
        </w:rPr>
        <w:t xml:space="preserve">identified for economic development </w:t>
      </w:r>
      <w:r w:rsidR="0000581F" w:rsidRPr="00132AF8">
        <w:rPr>
          <w:rFonts w:ascii="Tahoma" w:hAnsi="Tahoma" w:cs="Tahoma"/>
          <w:sz w:val="24"/>
          <w:szCs w:val="24"/>
        </w:rPr>
        <w:t>are suitable for a range of employment purposes, including manufacturing, storage and distrib</w:t>
      </w:r>
      <w:r w:rsidR="001047FC" w:rsidRPr="00132AF8">
        <w:rPr>
          <w:rFonts w:ascii="Tahoma" w:hAnsi="Tahoma" w:cs="Tahoma"/>
          <w:sz w:val="24"/>
          <w:szCs w:val="24"/>
        </w:rPr>
        <w:t>ution but excluding office and retail development.</w:t>
      </w:r>
    </w:p>
    <w:p w:rsidR="004C6132" w:rsidRPr="00132AF8" w:rsidRDefault="004C6132" w:rsidP="00FC76CD">
      <w:pPr>
        <w:autoSpaceDE w:val="0"/>
        <w:autoSpaceDN w:val="0"/>
        <w:adjustRightInd w:val="0"/>
        <w:spacing w:after="0" w:line="240" w:lineRule="auto"/>
        <w:jc w:val="both"/>
        <w:rPr>
          <w:rFonts w:ascii="Tahoma" w:hAnsi="Tahoma" w:cs="Tahoma"/>
          <w:sz w:val="24"/>
          <w:szCs w:val="24"/>
        </w:rPr>
      </w:pPr>
    </w:p>
    <w:p w:rsidR="00D812E3"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C538C4" w:rsidRPr="00132AF8">
        <w:rPr>
          <w:rFonts w:ascii="Tahoma" w:hAnsi="Tahoma" w:cs="Tahoma"/>
          <w:b/>
          <w:sz w:val="24"/>
          <w:szCs w:val="24"/>
        </w:rPr>
        <w:t>.5</w:t>
      </w:r>
      <w:r w:rsidR="00C538C4" w:rsidRPr="00132AF8">
        <w:rPr>
          <w:rFonts w:ascii="Tahoma" w:hAnsi="Tahoma" w:cs="Tahoma"/>
          <w:sz w:val="24"/>
          <w:szCs w:val="24"/>
        </w:rPr>
        <w:t xml:space="preserve"> </w:t>
      </w:r>
      <w:r w:rsidR="003F2672">
        <w:rPr>
          <w:rFonts w:ascii="Tahoma" w:hAnsi="Tahoma" w:cs="Tahoma"/>
          <w:sz w:val="24"/>
          <w:szCs w:val="24"/>
        </w:rPr>
        <w:tab/>
      </w:r>
      <w:r w:rsidR="00D812E3" w:rsidRPr="00132AF8">
        <w:rPr>
          <w:rFonts w:ascii="Tahoma" w:hAnsi="Tahoma" w:cs="Tahoma"/>
          <w:sz w:val="24"/>
          <w:szCs w:val="24"/>
        </w:rPr>
        <w:t>No specific sites were zoned for development in the villages and small settlements except for an extension to the existing industrial estate in Jonesborough. Demand for suc</w:t>
      </w:r>
      <w:r w:rsidR="00F04D3A" w:rsidRPr="00132AF8">
        <w:rPr>
          <w:rFonts w:ascii="Tahoma" w:hAnsi="Tahoma" w:cs="Tahoma"/>
          <w:sz w:val="24"/>
          <w:szCs w:val="24"/>
        </w:rPr>
        <w:t>h use in smaller settlements is</w:t>
      </w:r>
      <w:r w:rsidR="00D812E3" w:rsidRPr="00132AF8">
        <w:rPr>
          <w:rFonts w:ascii="Tahoma" w:hAnsi="Tahoma" w:cs="Tahoma"/>
          <w:sz w:val="24"/>
          <w:szCs w:val="24"/>
        </w:rPr>
        <w:t xml:space="preserve"> generally limited and it was considered that any development proposals could be assessed on their own merits within the context of prevailing planning policy.</w:t>
      </w:r>
    </w:p>
    <w:p w:rsidR="005B7DCE" w:rsidRPr="00132AF8" w:rsidRDefault="005B7DCE" w:rsidP="00FC76CD">
      <w:pPr>
        <w:autoSpaceDE w:val="0"/>
        <w:autoSpaceDN w:val="0"/>
        <w:adjustRightInd w:val="0"/>
        <w:spacing w:after="0" w:line="240" w:lineRule="auto"/>
        <w:jc w:val="both"/>
        <w:rPr>
          <w:rFonts w:ascii="Tahoma" w:hAnsi="Tahoma" w:cs="Tahoma"/>
          <w:sz w:val="24"/>
          <w:szCs w:val="24"/>
        </w:rPr>
      </w:pPr>
    </w:p>
    <w:p w:rsidR="008B6360"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.6</w:t>
      </w:r>
      <w:r w:rsidR="008B6360" w:rsidRPr="00132AF8">
        <w:rPr>
          <w:rFonts w:ascii="Tahoma" w:hAnsi="Tahoma" w:cs="Tahoma"/>
          <w:sz w:val="24"/>
          <w:szCs w:val="24"/>
        </w:rPr>
        <w:t xml:space="preserve"> </w:t>
      </w:r>
      <w:r w:rsidR="003F2672">
        <w:rPr>
          <w:rFonts w:ascii="Tahoma" w:hAnsi="Tahoma" w:cs="Tahoma"/>
          <w:sz w:val="24"/>
          <w:szCs w:val="24"/>
        </w:rPr>
        <w:tab/>
      </w:r>
      <w:r w:rsidR="008B6360" w:rsidRPr="00132AF8">
        <w:rPr>
          <w:rFonts w:ascii="Tahoma" w:hAnsi="Tahoma" w:cs="Tahoma"/>
          <w:sz w:val="24"/>
          <w:szCs w:val="24"/>
        </w:rPr>
        <w:t xml:space="preserve">In addition to industrial land zoned in Newry and </w:t>
      </w:r>
      <w:proofErr w:type="spellStart"/>
      <w:r w:rsidR="008B6360" w:rsidRPr="00132AF8">
        <w:rPr>
          <w:rFonts w:ascii="Tahoma" w:hAnsi="Tahoma" w:cs="Tahoma"/>
          <w:sz w:val="24"/>
          <w:szCs w:val="24"/>
        </w:rPr>
        <w:t>Mourne</w:t>
      </w:r>
      <w:proofErr w:type="spellEnd"/>
      <w:r w:rsidR="008B6360" w:rsidRPr="00132AF8">
        <w:rPr>
          <w:rFonts w:ascii="Tahoma" w:hAnsi="Tahoma" w:cs="Tahoma"/>
          <w:sz w:val="24"/>
          <w:szCs w:val="24"/>
        </w:rPr>
        <w:t xml:space="preserve"> 9.71 hectares of land is zoned for mixed use. Mixed use zonings are those that can accommodate a variety of uses which may include light industrial (Class B2), general industrial (Class B3), business (Class B1), storage or distribution (Class B4) as well as </w:t>
      </w:r>
      <w:r w:rsidR="00B5079C" w:rsidRPr="00132AF8">
        <w:rPr>
          <w:rFonts w:ascii="Tahoma" w:hAnsi="Tahoma" w:cs="Tahoma"/>
          <w:sz w:val="24"/>
          <w:szCs w:val="24"/>
        </w:rPr>
        <w:t>non-business</w:t>
      </w:r>
      <w:r w:rsidR="008B6360" w:rsidRPr="00132AF8">
        <w:rPr>
          <w:rFonts w:ascii="Tahoma" w:hAnsi="Tahoma" w:cs="Tahoma"/>
          <w:sz w:val="24"/>
          <w:szCs w:val="24"/>
        </w:rPr>
        <w:t xml:space="preserve"> use such as dwelling houses (Class C1), community and cultural uses (Class D1).</w:t>
      </w:r>
    </w:p>
    <w:p w:rsidR="008B6360" w:rsidRPr="00132AF8" w:rsidRDefault="008B6360" w:rsidP="005B7DCE">
      <w:pPr>
        <w:autoSpaceDE w:val="0"/>
        <w:autoSpaceDN w:val="0"/>
        <w:adjustRightInd w:val="0"/>
        <w:spacing w:after="0" w:line="240" w:lineRule="auto"/>
        <w:rPr>
          <w:rFonts w:ascii="Tahoma" w:hAnsi="Tahoma" w:cs="Tahoma"/>
          <w:b/>
          <w:sz w:val="24"/>
          <w:szCs w:val="24"/>
        </w:rPr>
      </w:pPr>
    </w:p>
    <w:p w:rsidR="008C6318" w:rsidRPr="00132AF8" w:rsidRDefault="008C6318" w:rsidP="005B7DCE">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 xml:space="preserve">Newry  </w:t>
      </w:r>
    </w:p>
    <w:p w:rsidR="008C6318" w:rsidRPr="00132AF8" w:rsidRDefault="008C6318" w:rsidP="005B7DCE">
      <w:pPr>
        <w:autoSpaceDE w:val="0"/>
        <w:autoSpaceDN w:val="0"/>
        <w:adjustRightInd w:val="0"/>
        <w:spacing w:after="0" w:line="240" w:lineRule="auto"/>
        <w:rPr>
          <w:rFonts w:ascii="Tahoma" w:hAnsi="Tahoma" w:cs="Tahoma"/>
          <w:sz w:val="24"/>
          <w:szCs w:val="24"/>
        </w:rPr>
      </w:pPr>
    </w:p>
    <w:p w:rsidR="00091B33"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.7</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E61A50" w:rsidRPr="00132AF8">
        <w:rPr>
          <w:rFonts w:ascii="Tahoma" w:hAnsi="Tahoma" w:cs="Tahoma"/>
          <w:sz w:val="24"/>
          <w:szCs w:val="24"/>
        </w:rPr>
        <w:t>Carnb</w:t>
      </w:r>
      <w:r w:rsidR="00ED5C8E" w:rsidRPr="00132AF8">
        <w:rPr>
          <w:rFonts w:ascii="Tahoma" w:hAnsi="Tahoma" w:cs="Tahoma"/>
          <w:sz w:val="24"/>
          <w:szCs w:val="24"/>
        </w:rPr>
        <w:t>ane</w:t>
      </w:r>
      <w:proofErr w:type="spellEnd"/>
      <w:r w:rsidR="00ED5C8E" w:rsidRPr="00132AF8">
        <w:rPr>
          <w:rFonts w:ascii="Tahoma" w:hAnsi="Tahoma" w:cs="Tahoma"/>
          <w:sz w:val="24"/>
          <w:szCs w:val="24"/>
        </w:rPr>
        <w:t xml:space="preserve"> North (Zoning NY62), 2.3</w:t>
      </w:r>
      <w:r w:rsidR="00486C31" w:rsidRPr="00132AF8">
        <w:rPr>
          <w:rFonts w:ascii="Tahoma" w:hAnsi="Tahoma" w:cs="Tahoma"/>
          <w:sz w:val="24"/>
          <w:szCs w:val="24"/>
        </w:rPr>
        <w:t>8 hectares</w:t>
      </w:r>
      <w:r w:rsidR="00983249" w:rsidRPr="00132AF8">
        <w:rPr>
          <w:rFonts w:ascii="Tahoma" w:hAnsi="Tahoma" w:cs="Tahoma"/>
          <w:sz w:val="24"/>
          <w:szCs w:val="24"/>
        </w:rPr>
        <w:t xml:space="preserve"> </w:t>
      </w:r>
      <w:r w:rsidR="00E614FA" w:rsidRPr="00132AF8">
        <w:rPr>
          <w:rFonts w:ascii="Tahoma" w:hAnsi="Tahoma" w:cs="Tahoma"/>
          <w:sz w:val="24"/>
          <w:szCs w:val="24"/>
        </w:rPr>
        <w:t xml:space="preserve">is </w:t>
      </w:r>
      <w:r w:rsidR="00983249" w:rsidRPr="00132AF8">
        <w:rPr>
          <w:rFonts w:ascii="Tahoma" w:hAnsi="Tahoma" w:cs="Tahoma"/>
          <w:sz w:val="24"/>
          <w:szCs w:val="24"/>
        </w:rPr>
        <w:t xml:space="preserve">zoned </w:t>
      </w:r>
      <w:r w:rsidR="00BC692C" w:rsidRPr="00132AF8">
        <w:rPr>
          <w:rFonts w:ascii="Tahoma" w:hAnsi="Tahoma" w:cs="Tahoma"/>
          <w:sz w:val="24"/>
          <w:szCs w:val="24"/>
        </w:rPr>
        <w:t xml:space="preserve">for economic development </w:t>
      </w:r>
      <w:r w:rsidR="00983249" w:rsidRPr="00132AF8">
        <w:rPr>
          <w:rFonts w:ascii="Tahoma" w:hAnsi="Tahoma" w:cs="Tahoma"/>
          <w:sz w:val="24"/>
          <w:szCs w:val="24"/>
        </w:rPr>
        <w:t xml:space="preserve">and this is </w:t>
      </w:r>
      <w:r w:rsidR="00E614FA" w:rsidRPr="00132AF8">
        <w:rPr>
          <w:rFonts w:ascii="Tahoma" w:hAnsi="Tahoma" w:cs="Tahoma"/>
          <w:sz w:val="24"/>
          <w:szCs w:val="24"/>
        </w:rPr>
        <w:t>currently undeveloped.</w:t>
      </w:r>
      <w:r w:rsidR="00F04D3A" w:rsidRPr="00132AF8">
        <w:rPr>
          <w:rFonts w:ascii="Tahoma" w:hAnsi="Tahoma" w:cs="Tahoma"/>
          <w:sz w:val="24"/>
          <w:szCs w:val="24"/>
        </w:rPr>
        <w:t xml:space="preserve"> This triangular site is located at the northern end of the </w:t>
      </w:r>
      <w:proofErr w:type="spellStart"/>
      <w:r w:rsidR="00F04D3A" w:rsidRPr="00132AF8">
        <w:rPr>
          <w:rFonts w:ascii="Tahoma" w:hAnsi="Tahoma" w:cs="Tahoma"/>
          <w:sz w:val="24"/>
          <w:szCs w:val="24"/>
        </w:rPr>
        <w:t>Ca</w:t>
      </w:r>
      <w:r w:rsidR="00C22CA8" w:rsidRPr="00132AF8">
        <w:rPr>
          <w:rFonts w:ascii="Tahoma" w:hAnsi="Tahoma" w:cs="Tahoma"/>
          <w:sz w:val="24"/>
          <w:szCs w:val="24"/>
        </w:rPr>
        <w:t>r</w:t>
      </w:r>
      <w:r w:rsidR="00F04D3A" w:rsidRPr="00132AF8">
        <w:rPr>
          <w:rFonts w:ascii="Tahoma" w:hAnsi="Tahoma" w:cs="Tahoma"/>
          <w:sz w:val="24"/>
          <w:szCs w:val="24"/>
        </w:rPr>
        <w:t>nbane</w:t>
      </w:r>
      <w:proofErr w:type="spellEnd"/>
      <w:r w:rsidR="00F04D3A" w:rsidRPr="00132AF8">
        <w:rPr>
          <w:rFonts w:ascii="Tahoma" w:hAnsi="Tahoma" w:cs="Tahoma"/>
          <w:sz w:val="24"/>
          <w:szCs w:val="24"/>
        </w:rPr>
        <w:t xml:space="preserve"> Ind</w:t>
      </w:r>
      <w:r w:rsidR="00005F5D" w:rsidRPr="00132AF8">
        <w:rPr>
          <w:rFonts w:ascii="Tahoma" w:hAnsi="Tahoma" w:cs="Tahoma"/>
          <w:sz w:val="24"/>
          <w:szCs w:val="24"/>
        </w:rPr>
        <w:t>ustrial Estate. It is bounded by Newry Canal t</w:t>
      </w:r>
      <w:r w:rsidR="00B64A3A" w:rsidRPr="00132AF8">
        <w:rPr>
          <w:rFonts w:ascii="Tahoma" w:hAnsi="Tahoma" w:cs="Tahoma"/>
          <w:sz w:val="24"/>
          <w:szCs w:val="24"/>
        </w:rPr>
        <w:t>o the west, Newry River to the e</w:t>
      </w:r>
      <w:r w:rsidR="00005F5D" w:rsidRPr="00132AF8">
        <w:rPr>
          <w:rFonts w:ascii="Tahoma" w:hAnsi="Tahoma" w:cs="Tahoma"/>
          <w:sz w:val="24"/>
          <w:szCs w:val="24"/>
        </w:rPr>
        <w:t xml:space="preserve">ast and the </w:t>
      </w:r>
      <w:r w:rsidR="00C22CA8" w:rsidRPr="00132AF8">
        <w:rPr>
          <w:rFonts w:ascii="Tahoma" w:hAnsi="Tahoma" w:cs="Tahoma"/>
          <w:sz w:val="24"/>
          <w:szCs w:val="24"/>
        </w:rPr>
        <w:t xml:space="preserve">A1 </w:t>
      </w:r>
      <w:r w:rsidR="00005F5D" w:rsidRPr="00132AF8">
        <w:rPr>
          <w:rFonts w:ascii="Tahoma" w:hAnsi="Tahoma" w:cs="Tahoma"/>
          <w:sz w:val="24"/>
          <w:szCs w:val="24"/>
        </w:rPr>
        <w:t xml:space="preserve">Newry bypass to the north. </w:t>
      </w:r>
      <w:r w:rsidR="001354F8" w:rsidRPr="00132AF8">
        <w:rPr>
          <w:rFonts w:ascii="Tahoma" w:hAnsi="Tahoma" w:cs="Tahoma"/>
          <w:sz w:val="24"/>
          <w:szCs w:val="24"/>
        </w:rPr>
        <w:t>Outline planning permission for five industrial storage and distribution u</w:t>
      </w:r>
      <w:r w:rsidR="00071B40" w:rsidRPr="00132AF8">
        <w:rPr>
          <w:rFonts w:ascii="Tahoma" w:hAnsi="Tahoma" w:cs="Tahoma"/>
          <w:sz w:val="24"/>
          <w:szCs w:val="24"/>
        </w:rPr>
        <w:t>nits was granted in August 2010 but was not followed up with a subsequent reserved matters or full planning application.</w:t>
      </w:r>
      <w:r w:rsidR="00614A14" w:rsidRPr="00132AF8">
        <w:rPr>
          <w:rFonts w:ascii="Tahoma" w:hAnsi="Tahoma" w:cs="Tahoma"/>
          <w:sz w:val="24"/>
          <w:szCs w:val="24"/>
        </w:rPr>
        <w:t xml:space="preserve"> </w:t>
      </w:r>
      <w:r w:rsidR="00005F5D" w:rsidRPr="00132AF8">
        <w:rPr>
          <w:rFonts w:ascii="Tahoma" w:hAnsi="Tahoma" w:cs="Tahoma"/>
          <w:sz w:val="24"/>
          <w:szCs w:val="24"/>
        </w:rPr>
        <w:t>With its restricted access development of this site is linked with the future development of</w:t>
      </w:r>
      <w:r w:rsidR="00281446" w:rsidRPr="00132AF8">
        <w:rPr>
          <w:rFonts w:ascii="Tahoma" w:hAnsi="Tahoma" w:cs="Tahoma"/>
          <w:sz w:val="24"/>
          <w:szCs w:val="24"/>
        </w:rPr>
        <w:t xml:space="preserve"> the adjacent NY63 site encompassing Invest NI lands.</w:t>
      </w:r>
    </w:p>
    <w:p w:rsidR="00005F5D" w:rsidRPr="00132AF8" w:rsidRDefault="00005F5D"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.8</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E61A50" w:rsidRPr="00132AF8">
        <w:rPr>
          <w:rFonts w:ascii="Tahoma" w:hAnsi="Tahoma" w:cs="Tahoma"/>
          <w:sz w:val="24"/>
          <w:szCs w:val="24"/>
        </w:rPr>
        <w:t>Carnbane</w:t>
      </w:r>
      <w:proofErr w:type="spellEnd"/>
      <w:r w:rsidR="00E61A50" w:rsidRPr="00132AF8">
        <w:rPr>
          <w:rFonts w:ascii="Tahoma" w:hAnsi="Tahoma" w:cs="Tahoma"/>
          <w:sz w:val="24"/>
          <w:szCs w:val="24"/>
        </w:rPr>
        <w:t>/</w:t>
      </w:r>
      <w:proofErr w:type="spellStart"/>
      <w:r w:rsidR="00E61A50" w:rsidRPr="00132AF8">
        <w:rPr>
          <w:rFonts w:ascii="Tahoma" w:hAnsi="Tahoma" w:cs="Tahoma"/>
          <w:sz w:val="24"/>
          <w:szCs w:val="24"/>
        </w:rPr>
        <w:t>Cloughanr</w:t>
      </w:r>
      <w:r w:rsidR="00486C31" w:rsidRPr="00132AF8">
        <w:rPr>
          <w:rFonts w:ascii="Tahoma" w:hAnsi="Tahoma" w:cs="Tahoma"/>
          <w:sz w:val="24"/>
          <w:szCs w:val="24"/>
        </w:rPr>
        <w:t>amer</w:t>
      </w:r>
      <w:proofErr w:type="spellEnd"/>
      <w:r w:rsidR="00486C31" w:rsidRPr="00132AF8">
        <w:rPr>
          <w:rFonts w:ascii="Tahoma" w:hAnsi="Tahoma" w:cs="Tahoma"/>
          <w:sz w:val="24"/>
          <w:szCs w:val="24"/>
        </w:rPr>
        <w:t xml:space="preserve"> Road (Zoning NY63) 52.38 hectares</w:t>
      </w:r>
      <w:r w:rsidR="00934A63" w:rsidRPr="00132AF8">
        <w:rPr>
          <w:rFonts w:ascii="Tahoma" w:hAnsi="Tahoma" w:cs="Tahoma"/>
          <w:sz w:val="24"/>
          <w:szCs w:val="24"/>
        </w:rPr>
        <w:t xml:space="preserve"> located to the south of the A1 Newry bypass</w:t>
      </w:r>
      <w:r w:rsidR="00005F5D" w:rsidRPr="00132AF8">
        <w:rPr>
          <w:rFonts w:ascii="Tahoma" w:hAnsi="Tahoma" w:cs="Tahoma"/>
          <w:sz w:val="24"/>
          <w:szCs w:val="24"/>
        </w:rPr>
        <w:t xml:space="preserve">. </w:t>
      </w:r>
      <w:r w:rsidR="008A08B5" w:rsidRPr="00132AF8">
        <w:rPr>
          <w:rFonts w:ascii="Tahoma" w:hAnsi="Tahoma" w:cs="Tahoma"/>
          <w:sz w:val="24"/>
          <w:szCs w:val="24"/>
        </w:rPr>
        <w:t>In</w:t>
      </w:r>
      <w:r w:rsidR="00DB467E" w:rsidRPr="00132AF8">
        <w:rPr>
          <w:rFonts w:ascii="Tahoma" w:hAnsi="Tahoma" w:cs="Tahoma"/>
          <w:sz w:val="24"/>
          <w:szCs w:val="24"/>
        </w:rPr>
        <w:t xml:space="preserve">vest NI acquired </w:t>
      </w:r>
      <w:r w:rsidR="000758BD" w:rsidRPr="00132AF8">
        <w:rPr>
          <w:rFonts w:ascii="Tahoma" w:hAnsi="Tahoma" w:cs="Tahoma"/>
          <w:sz w:val="24"/>
          <w:szCs w:val="24"/>
        </w:rPr>
        <w:t>approximately 29 hectares</w:t>
      </w:r>
      <w:r w:rsidR="00F9292B" w:rsidRPr="00132AF8">
        <w:rPr>
          <w:rFonts w:ascii="Tahoma" w:hAnsi="Tahoma" w:cs="Tahoma"/>
          <w:sz w:val="24"/>
          <w:szCs w:val="24"/>
        </w:rPr>
        <w:t xml:space="preserve"> </w:t>
      </w:r>
      <w:r w:rsidR="00CC6C6E" w:rsidRPr="00132AF8">
        <w:rPr>
          <w:rFonts w:ascii="Tahoma" w:hAnsi="Tahoma" w:cs="Tahoma"/>
          <w:sz w:val="24"/>
          <w:szCs w:val="24"/>
        </w:rPr>
        <w:t>of this zoning in</w:t>
      </w:r>
      <w:r w:rsidR="00DB467E" w:rsidRPr="00132AF8">
        <w:rPr>
          <w:rFonts w:ascii="Tahoma" w:hAnsi="Tahoma" w:cs="Tahoma"/>
          <w:sz w:val="24"/>
          <w:szCs w:val="24"/>
        </w:rPr>
        <w:t xml:space="preserve"> </w:t>
      </w:r>
      <w:r w:rsidR="00512AA8" w:rsidRPr="00132AF8">
        <w:rPr>
          <w:rFonts w:ascii="Tahoma" w:hAnsi="Tahoma" w:cs="Tahoma"/>
          <w:sz w:val="24"/>
          <w:szCs w:val="24"/>
        </w:rPr>
        <w:t xml:space="preserve">2011 for expansion of its existing </w:t>
      </w:r>
      <w:proofErr w:type="spellStart"/>
      <w:r w:rsidR="000758BD" w:rsidRPr="00132AF8">
        <w:rPr>
          <w:rFonts w:ascii="Tahoma" w:hAnsi="Tahoma" w:cs="Tahoma"/>
          <w:sz w:val="24"/>
          <w:szCs w:val="24"/>
        </w:rPr>
        <w:t>Carnbane</w:t>
      </w:r>
      <w:proofErr w:type="spellEnd"/>
      <w:r w:rsidR="000758BD" w:rsidRPr="00132AF8">
        <w:rPr>
          <w:rFonts w:ascii="Tahoma" w:hAnsi="Tahoma" w:cs="Tahoma"/>
          <w:sz w:val="24"/>
          <w:szCs w:val="24"/>
        </w:rPr>
        <w:t xml:space="preserve"> </w:t>
      </w:r>
      <w:r w:rsidR="00B64A3A" w:rsidRPr="00132AF8">
        <w:rPr>
          <w:rFonts w:ascii="Tahoma" w:hAnsi="Tahoma" w:cs="Tahoma"/>
          <w:sz w:val="24"/>
          <w:szCs w:val="24"/>
        </w:rPr>
        <w:t>Business P</w:t>
      </w:r>
      <w:r w:rsidR="008A08B5" w:rsidRPr="00132AF8">
        <w:rPr>
          <w:rFonts w:ascii="Tahoma" w:hAnsi="Tahoma" w:cs="Tahoma"/>
          <w:sz w:val="24"/>
          <w:szCs w:val="24"/>
        </w:rPr>
        <w:t xml:space="preserve">ark. The first phase </w:t>
      </w:r>
      <w:r w:rsidR="000C20D6" w:rsidRPr="00132AF8">
        <w:rPr>
          <w:rFonts w:ascii="Tahoma" w:hAnsi="Tahoma" w:cs="Tahoma"/>
          <w:sz w:val="24"/>
          <w:szCs w:val="24"/>
        </w:rPr>
        <w:t xml:space="preserve">of the development </w:t>
      </w:r>
      <w:r w:rsidR="008A08B5" w:rsidRPr="00132AF8">
        <w:rPr>
          <w:rFonts w:ascii="Tahoma" w:hAnsi="Tahoma" w:cs="Tahoma"/>
          <w:sz w:val="24"/>
          <w:szCs w:val="24"/>
        </w:rPr>
        <w:t xml:space="preserve">was completed at the start of 2013 with approximately 8 hectares of serviced land </w:t>
      </w:r>
      <w:r w:rsidR="00512AA8" w:rsidRPr="00132AF8">
        <w:rPr>
          <w:rFonts w:ascii="Tahoma" w:hAnsi="Tahoma" w:cs="Tahoma"/>
          <w:sz w:val="24"/>
          <w:szCs w:val="24"/>
        </w:rPr>
        <w:t xml:space="preserve">now available to be sold or allocated to </w:t>
      </w:r>
      <w:r w:rsidR="00934A63" w:rsidRPr="00132AF8">
        <w:rPr>
          <w:rFonts w:ascii="Tahoma" w:hAnsi="Tahoma" w:cs="Tahoma"/>
          <w:sz w:val="24"/>
          <w:szCs w:val="24"/>
        </w:rPr>
        <w:t xml:space="preserve">Invest NI </w:t>
      </w:r>
      <w:r w:rsidR="00512AA8" w:rsidRPr="00132AF8">
        <w:rPr>
          <w:rFonts w:ascii="Tahoma" w:hAnsi="Tahoma" w:cs="Tahoma"/>
          <w:sz w:val="24"/>
          <w:szCs w:val="24"/>
        </w:rPr>
        <w:t>client companies. A further 12.5 hec</w:t>
      </w:r>
      <w:r w:rsidR="00CC6C6E" w:rsidRPr="00132AF8">
        <w:rPr>
          <w:rFonts w:ascii="Tahoma" w:hAnsi="Tahoma" w:cs="Tahoma"/>
          <w:sz w:val="24"/>
          <w:szCs w:val="24"/>
        </w:rPr>
        <w:t>tares i</w:t>
      </w:r>
      <w:r w:rsidR="006B08DB" w:rsidRPr="00132AF8">
        <w:rPr>
          <w:rFonts w:ascii="Tahoma" w:hAnsi="Tahoma" w:cs="Tahoma"/>
          <w:sz w:val="24"/>
          <w:szCs w:val="24"/>
        </w:rPr>
        <w:t>s held by Invest NI for future development.</w:t>
      </w:r>
      <w:r w:rsidR="00B2708B" w:rsidRPr="00132AF8">
        <w:rPr>
          <w:rFonts w:ascii="Tahoma" w:hAnsi="Tahoma" w:cs="Tahoma"/>
        </w:rPr>
        <w:t xml:space="preserve"> </w:t>
      </w:r>
      <w:r w:rsidR="00ED5C8E" w:rsidRPr="00132AF8">
        <w:rPr>
          <w:rFonts w:ascii="Tahoma" w:hAnsi="Tahoma" w:cs="Tahoma"/>
          <w:sz w:val="24"/>
          <w:szCs w:val="24"/>
        </w:rPr>
        <w:t>Currently 51.64 hectares remains undeveloped</w:t>
      </w:r>
      <w:r w:rsidR="00005F5D" w:rsidRPr="00132AF8">
        <w:rPr>
          <w:rFonts w:ascii="Tahoma" w:hAnsi="Tahoma" w:cs="Tahoma"/>
          <w:sz w:val="24"/>
          <w:szCs w:val="24"/>
        </w:rPr>
        <w:t>.</w:t>
      </w:r>
    </w:p>
    <w:p w:rsidR="005024D5" w:rsidRPr="00132AF8" w:rsidRDefault="005024D5"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.9</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F07BCB" w:rsidRPr="00132AF8">
        <w:rPr>
          <w:rFonts w:ascii="Tahoma" w:hAnsi="Tahoma" w:cs="Tahoma"/>
          <w:sz w:val="24"/>
          <w:szCs w:val="24"/>
        </w:rPr>
        <w:t>Carnbane</w:t>
      </w:r>
      <w:proofErr w:type="spellEnd"/>
      <w:r w:rsidR="00F07BCB" w:rsidRPr="00132AF8">
        <w:rPr>
          <w:rFonts w:ascii="Tahoma" w:hAnsi="Tahoma" w:cs="Tahoma"/>
          <w:sz w:val="24"/>
          <w:szCs w:val="24"/>
        </w:rPr>
        <w:t xml:space="preserve"> Road/</w:t>
      </w:r>
      <w:proofErr w:type="spellStart"/>
      <w:r w:rsidR="00F07BCB" w:rsidRPr="00132AF8">
        <w:rPr>
          <w:rFonts w:ascii="Tahoma" w:hAnsi="Tahoma" w:cs="Tahoma"/>
          <w:sz w:val="24"/>
          <w:szCs w:val="24"/>
        </w:rPr>
        <w:t>Tand</w:t>
      </w:r>
      <w:r w:rsidR="00486C31" w:rsidRPr="00132AF8">
        <w:rPr>
          <w:rFonts w:ascii="Tahoma" w:hAnsi="Tahoma" w:cs="Tahoma"/>
          <w:sz w:val="24"/>
          <w:szCs w:val="24"/>
        </w:rPr>
        <w:t>ragee</w:t>
      </w:r>
      <w:proofErr w:type="spellEnd"/>
      <w:r w:rsidR="00486C31" w:rsidRPr="00132AF8">
        <w:rPr>
          <w:rFonts w:ascii="Tahoma" w:hAnsi="Tahoma" w:cs="Tahoma"/>
          <w:sz w:val="24"/>
          <w:szCs w:val="24"/>
        </w:rPr>
        <w:t xml:space="preserve"> Road (Zoning NY64)</w:t>
      </w:r>
      <w:r w:rsidR="00934A63" w:rsidRPr="00132AF8">
        <w:rPr>
          <w:rFonts w:ascii="Tahoma" w:hAnsi="Tahoma" w:cs="Tahoma"/>
          <w:sz w:val="24"/>
          <w:szCs w:val="24"/>
        </w:rPr>
        <w:t>,</w:t>
      </w:r>
      <w:r w:rsidR="00486C31" w:rsidRPr="00132AF8">
        <w:rPr>
          <w:rFonts w:ascii="Tahoma" w:hAnsi="Tahoma" w:cs="Tahoma"/>
          <w:sz w:val="24"/>
          <w:szCs w:val="24"/>
        </w:rPr>
        <w:t xml:space="preserve"> 2.89 hectares</w:t>
      </w:r>
      <w:r w:rsidR="00005F5D" w:rsidRPr="00132AF8">
        <w:rPr>
          <w:rFonts w:ascii="Tahoma" w:hAnsi="Tahoma" w:cs="Tahoma"/>
          <w:sz w:val="24"/>
          <w:szCs w:val="24"/>
        </w:rPr>
        <w:t xml:space="preserve"> to the west of the </w:t>
      </w:r>
      <w:proofErr w:type="spellStart"/>
      <w:r w:rsidR="00005F5D" w:rsidRPr="00132AF8">
        <w:rPr>
          <w:rFonts w:ascii="Tahoma" w:hAnsi="Tahoma" w:cs="Tahoma"/>
          <w:sz w:val="24"/>
          <w:szCs w:val="24"/>
        </w:rPr>
        <w:t>Carnbane</w:t>
      </w:r>
      <w:proofErr w:type="spellEnd"/>
      <w:r w:rsidR="00005F5D" w:rsidRPr="00132AF8">
        <w:rPr>
          <w:rFonts w:ascii="Tahoma" w:hAnsi="Tahoma" w:cs="Tahoma"/>
          <w:sz w:val="24"/>
          <w:szCs w:val="24"/>
        </w:rPr>
        <w:t xml:space="preserve"> Industrial </w:t>
      </w:r>
      <w:r w:rsidR="009B277E" w:rsidRPr="00132AF8">
        <w:rPr>
          <w:rFonts w:ascii="Tahoma" w:hAnsi="Tahoma" w:cs="Tahoma"/>
          <w:sz w:val="24"/>
          <w:szCs w:val="24"/>
        </w:rPr>
        <w:t>Estate</w:t>
      </w:r>
      <w:r w:rsidR="001047FC" w:rsidRPr="00132AF8">
        <w:rPr>
          <w:rFonts w:ascii="Tahoma" w:hAnsi="Tahoma" w:cs="Tahoma"/>
          <w:sz w:val="24"/>
          <w:szCs w:val="24"/>
        </w:rPr>
        <w:t xml:space="preserve"> is currently undeveloped.</w:t>
      </w:r>
      <w:r w:rsidR="00281446" w:rsidRPr="00132AF8">
        <w:rPr>
          <w:rFonts w:ascii="Tahoma" w:hAnsi="Tahoma" w:cs="Tahoma"/>
          <w:sz w:val="24"/>
          <w:szCs w:val="24"/>
        </w:rPr>
        <w:t xml:space="preserve"> Thi</w:t>
      </w:r>
      <w:r w:rsidR="008213D7" w:rsidRPr="00132AF8">
        <w:rPr>
          <w:rFonts w:ascii="Tahoma" w:hAnsi="Tahoma" w:cs="Tahoma"/>
          <w:sz w:val="24"/>
          <w:szCs w:val="24"/>
        </w:rPr>
        <w:t>s site is</w:t>
      </w:r>
      <w:r w:rsidR="00E614FA" w:rsidRPr="00132AF8">
        <w:rPr>
          <w:rFonts w:ascii="Tahoma" w:hAnsi="Tahoma" w:cs="Tahoma"/>
          <w:sz w:val="24"/>
          <w:szCs w:val="24"/>
        </w:rPr>
        <w:t xml:space="preserve"> detached from the rest o</w:t>
      </w:r>
      <w:r w:rsidR="008213D7" w:rsidRPr="00132AF8">
        <w:rPr>
          <w:rFonts w:ascii="Tahoma" w:hAnsi="Tahoma" w:cs="Tahoma"/>
          <w:sz w:val="24"/>
          <w:szCs w:val="24"/>
        </w:rPr>
        <w:t xml:space="preserve">f the </w:t>
      </w:r>
      <w:proofErr w:type="spellStart"/>
      <w:r w:rsidR="008213D7" w:rsidRPr="00132AF8">
        <w:rPr>
          <w:rFonts w:ascii="Tahoma" w:hAnsi="Tahoma" w:cs="Tahoma"/>
          <w:sz w:val="24"/>
          <w:szCs w:val="24"/>
        </w:rPr>
        <w:t>Carnbane</w:t>
      </w:r>
      <w:proofErr w:type="spellEnd"/>
      <w:r w:rsidR="008213D7" w:rsidRPr="00132AF8">
        <w:rPr>
          <w:rFonts w:ascii="Tahoma" w:hAnsi="Tahoma" w:cs="Tahoma"/>
          <w:sz w:val="24"/>
          <w:szCs w:val="24"/>
        </w:rPr>
        <w:t xml:space="preserve"> Industrial Estate</w:t>
      </w:r>
      <w:r w:rsidR="00E614FA" w:rsidRPr="00132AF8">
        <w:rPr>
          <w:rFonts w:ascii="Tahoma" w:hAnsi="Tahoma" w:cs="Tahoma"/>
          <w:sz w:val="24"/>
          <w:szCs w:val="24"/>
        </w:rPr>
        <w:t xml:space="preserve">, separated by the Newry canal, and will </w:t>
      </w:r>
      <w:r w:rsidR="00E614FA" w:rsidRPr="00132AF8">
        <w:rPr>
          <w:rFonts w:ascii="Tahoma" w:hAnsi="Tahoma" w:cs="Tahoma"/>
          <w:sz w:val="24"/>
          <w:szCs w:val="24"/>
        </w:rPr>
        <w:lastRenderedPageBreak/>
        <w:t xml:space="preserve">require the </w:t>
      </w:r>
      <w:proofErr w:type="spellStart"/>
      <w:r w:rsidR="00E614FA" w:rsidRPr="00132AF8">
        <w:rPr>
          <w:rFonts w:ascii="Tahoma" w:hAnsi="Tahoma" w:cs="Tahoma"/>
          <w:sz w:val="24"/>
          <w:szCs w:val="24"/>
        </w:rPr>
        <w:t>Carnbane</w:t>
      </w:r>
      <w:proofErr w:type="spellEnd"/>
      <w:r w:rsidR="00E614FA" w:rsidRPr="00132AF8">
        <w:rPr>
          <w:rFonts w:ascii="Tahoma" w:hAnsi="Tahoma" w:cs="Tahoma"/>
          <w:sz w:val="24"/>
          <w:szCs w:val="24"/>
        </w:rPr>
        <w:t xml:space="preserve"> Road to be realigned and widened before development can commence.</w:t>
      </w:r>
      <w:r w:rsidR="001354F8" w:rsidRPr="00132AF8">
        <w:rPr>
          <w:rFonts w:ascii="Tahoma" w:hAnsi="Tahoma" w:cs="Tahoma"/>
        </w:rPr>
        <w:t xml:space="preserve"> </w:t>
      </w:r>
      <w:r w:rsidR="001354F8" w:rsidRPr="00132AF8">
        <w:rPr>
          <w:rFonts w:ascii="Tahoma" w:hAnsi="Tahoma" w:cs="Tahoma"/>
          <w:sz w:val="24"/>
          <w:szCs w:val="24"/>
        </w:rPr>
        <w:t xml:space="preserve">There are </w:t>
      </w:r>
      <w:proofErr w:type="gramStart"/>
      <w:r w:rsidR="001354F8" w:rsidRPr="00132AF8">
        <w:rPr>
          <w:rFonts w:ascii="Tahoma" w:hAnsi="Tahoma" w:cs="Tahoma"/>
          <w:sz w:val="24"/>
          <w:szCs w:val="24"/>
        </w:rPr>
        <w:t>no extant planning permissions nor</w:t>
      </w:r>
      <w:proofErr w:type="gramEnd"/>
      <w:r w:rsidR="001354F8" w:rsidRPr="00132AF8">
        <w:rPr>
          <w:rFonts w:ascii="Tahoma" w:hAnsi="Tahoma" w:cs="Tahoma"/>
          <w:sz w:val="24"/>
          <w:szCs w:val="24"/>
        </w:rPr>
        <w:t xml:space="preserve"> any applications currently under consideration.</w:t>
      </w:r>
    </w:p>
    <w:p w:rsidR="009B277E" w:rsidRDefault="009B277E" w:rsidP="005B7DCE">
      <w:pPr>
        <w:autoSpaceDE w:val="0"/>
        <w:autoSpaceDN w:val="0"/>
        <w:adjustRightInd w:val="0"/>
        <w:spacing w:after="0" w:line="240" w:lineRule="auto"/>
        <w:rPr>
          <w:rFonts w:ascii="Arial" w:hAnsi="Arial" w:cs="Arial"/>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proofErr w:type="gramStart"/>
      <w:r w:rsidRPr="00132AF8">
        <w:rPr>
          <w:rFonts w:ascii="Tahoma" w:hAnsi="Tahoma" w:cs="Tahoma"/>
          <w:b/>
          <w:sz w:val="24"/>
          <w:szCs w:val="24"/>
        </w:rPr>
        <w:t>6</w:t>
      </w:r>
      <w:r w:rsidR="001120ED" w:rsidRPr="00132AF8">
        <w:rPr>
          <w:rFonts w:ascii="Tahoma" w:hAnsi="Tahoma" w:cs="Tahoma"/>
          <w:b/>
          <w:sz w:val="24"/>
          <w:szCs w:val="24"/>
        </w:rPr>
        <w:t>.10</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486C31" w:rsidRPr="00132AF8">
        <w:rPr>
          <w:rFonts w:ascii="Tahoma" w:hAnsi="Tahoma" w:cs="Tahoma"/>
          <w:sz w:val="24"/>
          <w:szCs w:val="24"/>
        </w:rPr>
        <w:t>Carnbane</w:t>
      </w:r>
      <w:proofErr w:type="spellEnd"/>
      <w:r w:rsidR="00486C31" w:rsidRPr="00132AF8">
        <w:rPr>
          <w:rFonts w:ascii="Tahoma" w:hAnsi="Tahoma" w:cs="Tahoma"/>
          <w:sz w:val="24"/>
          <w:szCs w:val="24"/>
        </w:rPr>
        <w:t xml:space="preserve"> Business Park</w:t>
      </w:r>
      <w:r w:rsidR="00F07BCB" w:rsidRPr="00132AF8">
        <w:rPr>
          <w:rFonts w:ascii="Tahoma" w:hAnsi="Tahoma" w:cs="Tahoma"/>
          <w:sz w:val="24"/>
          <w:szCs w:val="24"/>
        </w:rPr>
        <w:t xml:space="preserve"> (Zoning NY65) 21.65</w:t>
      </w:r>
      <w:r w:rsidR="00486C31" w:rsidRPr="00132AF8">
        <w:rPr>
          <w:rFonts w:ascii="Tahoma" w:hAnsi="Tahoma" w:cs="Tahoma"/>
          <w:sz w:val="24"/>
          <w:szCs w:val="24"/>
        </w:rPr>
        <w:t xml:space="preserve"> hectares.</w:t>
      </w:r>
      <w:proofErr w:type="gramEnd"/>
      <w:r w:rsidR="00185131" w:rsidRPr="00132AF8">
        <w:rPr>
          <w:rFonts w:ascii="Tahoma" w:hAnsi="Tahoma" w:cs="Tahoma"/>
          <w:sz w:val="24"/>
          <w:szCs w:val="24"/>
        </w:rPr>
        <w:t xml:space="preserve"> The majority of this site has now been developed, most recently wi</w:t>
      </w:r>
      <w:r w:rsidR="00FC5A02" w:rsidRPr="00132AF8">
        <w:rPr>
          <w:rFonts w:ascii="Tahoma" w:hAnsi="Tahoma" w:cs="Tahoma"/>
          <w:sz w:val="24"/>
          <w:szCs w:val="24"/>
        </w:rPr>
        <w:t>th the expansion of MJM Marine.</w:t>
      </w:r>
      <w:r w:rsidR="00E614FA" w:rsidRPr="00132AF8">
        <w:rPr>
          <w:rFonts w:ascii="Tahoma" w:hAnsi="Tahoma" w:cs="Tahoma"/>
          <w:sz w:val="24"/>
          <w:szCs w:val="24"/>
        </w:rPr>
        <w:t xml:space="preserve"> </w:t>
      </w:r>
      <w:r w:rsidR="00ED5C8E" w:rsidRPr="00132AF8">
        <w:rPr>
          <w:rFonts w:ascii="Tahoma" w:hAnsi="Tahoma" w:cs="Tahoma"/>
          <w:sz w:val="24"/>
          <w:szCs w:val="24"/>
        </w:rPr>
        <w:t>Currently</w:t>
      </w:r>
      <w:r w:rsidR="00741B09" w:rsidRPr="00132AF8">
        <w:rPr>
          <w:rFonts w:ascii="Tahoma" w:hAnsi="Tahoma" w:cs="Tahoma"/>
          <w:sz w:val="24"/>
          <w:szCs w:val="24"/>
        </w:rPr>
        <w:t xml:space="preserve"> 3</w:t>
      </w:r>
      <w:r w:rsidR="00ED5C8E" w:rsidRPr="00132AF8">
        <w:rPr>
          <w:rFonts w:ascii="Tahoma" w:hAnsi="Tahoma" w:cs="Tahoma"/>
          <w:sz w:val="24"/>
          <w:szCs w:val="24"/>
        </w:rPr>
        <w:t>.35</w:t>
      </w:r>
      <w:r w:rsidR="00185131" w:rsidRPr="00132AF8">
        <w:rPr>
          <w:rFonts w:ascii="Tahoma" w:hAnsi="Tahoma" w:cs="Tahoma"/>
          <w:sz w:val="24"/>
          <w:szCs w:val="24"/>
        </w:rPr>
        <w:t xml:space="preserve"> hec</w:t>
      </w:r>
      <w:r w:rsidR="00741B09" w:rsidRPr="00132AF8">
        <w:rPr>
          <w:rFonts w:ascii="Tahoma" w:hAnsi="Tahoma" w:cs="Tahoma"/>
          <w:sz w:val="24"/>
          <w:szCs w:val="24"/>
        </w:rPr>
        <w:t>tares adjacent to NY 63</w:t>
      </w:r>
      <w:r w:rsidR="00185131" w:rsidRPr="00132AF8">
        <w:rPr>
          <w:rFonts w:ascii="Tahoma" w:hAnsi="Tahoma" w:cs="Tahoma"/>
          <w:sz w:val="24"/>
          <w:szCs w:val="24"/>
        </w:rPr>
        <w:t xml:space="preserve"> remains to be developed and this forms part of the Invest NI land holding.</w:t>
      </w:r>
    </w:p>
    <w:p w:rsidR="00185131" w:rsidRPr="00132AF8" w:rsidRDefault="00185131"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.11</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B64A3A" w:rsidRPr="00132AF8">
        <w:rPr>
          <w:rFonts w:ascii="Tahoma" w:hAnsi="Tahoma" w:cs="Tahoma"/>
          <w:sz w:val="24"/>
          <w:szCs w:val="24"/>
        </w:rPr>
        <w:t>Carnbane</w:t>
      </w:r>
      <w:proofErr w:type="spellEnd"/>
      <w:r w:rsidR="00B64A3A" w:rsidRPr="00132AF8">
        <w:rPr>
          <w:rFonts w:ascii="Tahoma" w:hAnsi="Tahoma" w:cs="Tahoma"/>
          <w:sz w:val="24"/>
          <w:szCs w:val="24"/>
        </w:rPr>
        <w:t xml:space="preserve"> South (NY66) 3.95 hectares</w:t>
      </w:r>
      <w:r w:rsidR="00F07BCB" w:rsidRPr="00132AF8">
        <w:rPr>
          <w:rFonts w:ascii="Tahoma" w:hAnsi="Tahoma" w:cs="Tahoma"/>
          <w:sz w:val="24"/>
          <w:szCs w:val="24"/>
        </w:rPr>
        <w:t xml:space="preserve"> to the south of </w:t>
      </w:r>
      <w:proofErr w:type="spellStart"/>
      <w:r w:rsidR="00F07BCB" w:rsidRPr="00132AF8">
        <w:rPr>
          <w:rFonts w:ascii="Tahoma" w:hAnsi="Tahoma" w:cs="Tahoma"/>
          <w:sz w:val="24"/>
          <w:szCs w:val="24"/>
        </w:rPr>
        <w:t>Carnbane</w:t>
      </w:r>
      <w:proofErr w:type="spellEnd"/>
      <w:r w:rsidR="00F07BCB" w:rsidRPr="00132AF8">
        <w:rPr>
          <w:rFonts w:ascii="Tahoma" w:hAnsi="Tahoma" w:cs="Tahoma"/>
          <w:sz w:val="24"/>
          <w:szCs w:val="24"/>
        </w:rPr>
        <w:t xml:space="preserve"> Business Park.</w:t>
      </w:r>
      <w:r w:rsidR="00E614FA" w:rsidRPr="00132AF8">
        <w:rPr>
          <w:rFonts w:ascii="Tahoma" w:hAnsi="Tahoma" w:cs="Tahoma"/>
          <w:sz w:val="24"/>
          <w:szCs w:val="24"/>
        </w:rPr>
        <w:t xml:space="preserve"> The majority of </w:t>
      </w:r>
      <w:r w:rsidR="00145595" w:rsidRPr="00132AF8">
        <w:rPr>
          <w:rFonts w:ascii="Tahoma" w:hAnsi="Tahoma" w:cs="Tahoma"/>
          <w:sz w:val="24"/>
          <w:szCs w:val="24"/>
        </w:rPr>
        <w:t xml:space="preserve">the </w:t>
      </w:r>
      <w:r w:rsidR="00E614FA" w:rsidRPr="00132AF8">
        <w:rPr>
          <w:rFonts w:ascii="Tahoma" w:hAnsi="Tahoma" w:cs="Tahoma"/>
          <w:sz w:val="24"/>
          <w:szCs w:val="24"/>
        </w:rPr>
        <w:t xml:space="preserve">undeveloped land within this zoning </w:t>
      </w:r>
      <w:r w:rsidR="000C20D6" w:rsidRPr="00132AF8">
        <w:rPr>
          <w:rFonts w:ascii="Tahoma" w:hAnsi="Tahoma" w:cs="Tahoma"/>
          <w:sz w:val="24"/>
          <w:szCs w:val="24"/>
        </w:rPr>
        <w:t>now consists of</w:t>
      </w:r>
      <w:r w:rsidR="00E614FA" w:rsidRPr="00132AF8">
        <w:rPr>
          <w:rFonts w:ascii="Tahoma" w:hAnsi="Tahoma" w:cs="Tahoma"/>
          <w:sz w:val="24"/>
          <w:szCs w:val="24"/>
        </w:rPr>
        <w:t xml:space="preserve"> a </w:t>
      </w:r>
      <w:r w:rsidR="000D730A" w:rsidRPr="00132AF8">
        <w:rPr>
          <w:rFonts w:ascii="Tahoma" w:hAnsi="Tahoma" w:cs="Tahoma"/>
          <w:sz w:val="24"/>
          <w:szCs w:val="24"/>
        </w:rPr>
        <w:t>0.92</w:t>
      </w:r>
      <w:r w:rsidR="008213D7" w:rsidRPr="00132AF8">
        <w:rPr>
          <w:rFonts w:ascii="Tahoma" w:hAnsi="Tahoma" w:cs="Tahoma"/>
          <w:sz w:val="24"/>
          <w:szCs w:val="24"/>
        </w:rPr>
        <w:t xml:space="preserve"> </w:t>
      </w:r>
      <w:r w:rsidR="00145595" w:rsidRPr="00132AF8">
        <w:rPr>
          <w:rFonts w:ascii="Tahoma" w:hAnsi="Tahoma" w:cs="Tahoma"/>
          <w:sz w:val="24"/>
          <w:szCs w:val="24"/>
        </w:rPr>
        <w:t>hectare</w:t>
      </w:r>
      <w:r w:rsidR="00E614FA" w:rsidRPr="00132AF8">
        <w:rPr>
          <w:rFonts w:ascii="Tahoma" w:hAnsi="Tahoma" w:cs="Tahoma"/>
          <w:sz w:val="24"/>
          <w:szCs w:val="24"/>
        </w:rPr>
        <w:t xml:space="preserve"> </w:t>
      </w:r>
      <w:r w:rsidR="00145595" w:rsidRPr="00132AF8">
        <w:rPr>
          <w:rFonts w:ascii="Tahoma" w:hAnsi="Tahoma" w:cs="Tahoma"/>
          <w:sz w:val="24"/>
          <w:szCs w:val="24"/>
        </w:rPr>
        <w:t>site adjoining the</w:t>
      </w:r>
      <w:r w:rsidR="008213D7" w:rsidRPr="00132AF8">
        <w:rPr>
          <w:rFonts w:ascii="Tahoma" w:hAnsi="Tahoma" w:cs="Tahoma"/>
          <w:sz w:val="24"/>
          <w:szCs w:val="24"/>
        </w:rPr>
        <w:t xml:space="preserve"> existing </w:t>
      </w:r>
      <w:proofErr w:type="spellStart"/>
      <w:r w:rsidR="008213D7" w:rsidRPr="00132AF8">
        <w:rPr>
          <w:rFonts w:ascii="Tahoma" w:hAnsi="Tahoma" w:cs="Tahoma"/>
          <w:sz w:val="24"/>
          <w:szCs w:val="24"/>
        </w:rPr>
        <w:t>Norbrook</w:t>
      </w:r>
      <w:proofErr w:type="spellEnd"/>
      <w:r w:rsidR="008213D7" w:rsidRPr="00132AF8">
        <w:rPr>
          <w:rFonts w:ascii="Tahoma" w:hAnsi="Tahoma" w:cs="Tahoma"/>
          <w:sz w:val="24"/>
          <w:szCs w:val="24"/>
        </w:rPr>
        <w:t xml:space="preserve"> facility. </w:t>
      </w:r>
      <w:r w:rsidR="00CC75BC" w:rsidRPr="00132AF8">
        <w:rPr>
          <w:rFonts w:ascii="Tahoma" w:hAnsi="Tahoma" w:cs="Tahoma"/>
          <w:sz w:val="24"/>
          <w:szCs w:val="24"/>
        </w:rPr>
        <w:t xml:space="preserve">This land currently forms part of the </w:t>
      </w:r>
      <w:proofErr w:type="spellStart"/>
      <w:r w:rsidR="00CC75BC" w:rsidRPr="00132AF8">
        <w:rPr>
          <w:rFonts w:ascii="Tahoma" w:hAnsi="Tahoma" w:cs="Tahoma"/>
          <w:sz w:val="24"/>
          <w:szCs w:val="24"/>
        </w:rPr>
        <w:t>Norbrook</w:t>
      </w:r>
      <w:proofErr w:type="spellEnd"/>
      <w:r w:rsidR="00CC75BC" w:rsidRPr="00132AF8">
        <w:rPr>
          <w:rFonts w:ascii="Tahoma" w:hAnsi="Tahoma" w:cs="Tahoma"/>
          <w:sz w:val="24"/>
          <w:szCs w:val="24"/>
        </w:rPr>
        <w:t xml:space="preserve"> land holding. </w:t>
      </w:r>
      <w:proofErr w:type="spellStart"/>
      <w:r w:rsidR="00CC75BC" w:rsidRPr="00132AF8">
        <w:rPr>
          <w:rFonts w:ascii="Tahoma" w:hAnsi="Tahoma" w:cs="Tahoma"/>
          <w:sz w:val="24"/>
          <w:szCs w:val="24"/>
        </w:rPr>
        <w:t>Norbrook</w:t>
      </w:r>
      <w:proofErr w:type="spellEnd"/>
      <w:r w:rsidR="00CC75BC" w:rsidRPr="00132AF8">
        <w:rPr>
          <w:rFonts w:ascii="Tahoma" w:hAnsi="Tahoma" w:cs="Tahoma"/>
          <w:sz w:val="24"/>
          <w:szCs w:val="24"/>
        </w:rPr>
        <w:t xml:space="preserve"> received planning permission in 2013 for a further production facil</w:t>
      </w:r>
      <w:r w:rsidR="00934A63" w:rsidRPr="00132AF8">
        <w:rPr>
          <w:rFonts w:ascii="Tahoma" w:hAnsi="Tahoma" w:cs="Tahoma"/>
          <w:sz w:val="24"/>
          <w:szCs w:val="24"/>
        </w:rPr>
        <w:t>ity to the north of their site, o</w:t>
      </w:r>
      <w:r w:rsidR="00CC75BC" w:rsidRPr="00132AF8">
        <w:rPr>
          <w:rFonts w:ascii="Tahoma" w:hAnsi="Tahoma" w:cs="Tahoma"/>
          <w:sz w:val="24"/>
          <w:szCs w:val="24"/>
        </w:rPr>
        <w:t xml:space="preserve">nce constructed this will further restrict access to </w:t>
      </w:r>
      <w:r w:rsidR="00145595" w:rsidRPr="00132AF8">
        <w:rPr>
          <w:rFonts w:ascii="Tahoma" w:hAnsi="Tahoma" w:cs="Tahoma"/>
          <w:sz w:val="24"/>
          <w:szCs w:val="24"/>
        </w:rPr>
        <w:t xml:space="preserve">the undeveloped site within </w:t>
      </w:r>
      <w:r w:rsidR="00CC75BC" w:rsidRPr="00132AF8">
        <w:rPr>
          <w:rFonts w:ascii="Tahoma" w:hAnsi="Tahoma" w:cs="Tahoma"/>
          <w:sz w:val="24"/>
          <w:szCs w:val="24"/>
        </w:rPr>
        <w:t>NY66.</w:t>
      </w:r>
    </w:p>
    <w:p w:rsidR="00185131" w:rsidRPr="00132AF8" w:rsidRDefault="00185131"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.12</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F07BCB" w:rsidRPr="00132AF8">
        <w:rPr>
          <w:rFonts w:ascii="Tahoma" w:hAnsi="Tahoma" w:cs="Tahoma"/>
          <w:sz w:val="24"/>
          <w:szCs w:val="24"/>
        </w:rPr>
        <w:t>Craigmore</w:t>
      </w:r>
      <w:proofErr w:type="spellEnd"/>
      <w:r w:rsidR="00F07BCB" w:rsidRPr="00132AF8">
        <w:rPr>
          <w:rFonts w:ascii="Tahoma" w:hAnsi="Tahoma" w:cs="Tahoma"/>
          <w:sz w:val="24"/>
          <w:szCs w:val="24"/>
        </w:rPr>
        <w:t xml:space="preserve"> Road (NY67) 11.30</w:t>
      </w:r>
      <w:r w:rsidR="008A712A" w:rsidRPr="00132AF8">
        <w:rPr>
          <w:rFonts w:ascii="Tahoma" w:hAnsi="Tahoma" w:cs="Tahoma"/>
          <w:sz w:val="24"/>
          <w:szCs w:val="24"/>
        </w:rPr>
        <w:t xml:space="preserve"> </w:t>
      </w:r>
      <w:r w:rsidR="00EA2713">
        <w:rPr>
          <w:rFonts w:ascii="Tahoma" w:hAnsi="Tahoma" w:cs="Tahoma"/>
          <w:sz w:val="24"/>
          <w:szCs w:val="24"/>
        </w:rPr>
        <w:t>hec</w:t>
      </w:r>
      <w:r w:rsidR="00545425">
        <w:rPr>
          <w:rFonts w:ascii="Tahoma" w:hAnsi="Tahoma" w:cs="Tahoma"/>
          <w:sz w:val="24"/>
          <w:szCs w:val="24"/>
        </w:rPr>
        <w:t>tares</w:t>
      </w:r>
      <w:r w:rsidR="00D6324A" w:rsidRPr="00132AF8">
        <w:rPr>
          <w:rFonts w:ascii="Tahoma" w:hAnsi="Tahoma" w:cs="Tahoma"/>
          <w:sz w:val="24"/>
          <w:szCs w:val="24"/>
        </w:rPr>
        <w:t xml:space="preserve"> </w:t>
      </w:r>
      <w:r w:rsidR="00B64A3A" w:rsidRPr="00132AF8">
        <w:rPr>
          <w:rFonts w:ascii="Tahoma" w:hAnsi="Tahoma" w:cs="Tahoma"/>
          <w:sz w:val="24"/>
          <w:szCs w:val="24"/>
        </w:rPr>
        <w:t xml:space="preserve">is zoned and 9.1 hectares remain </w:t>
      </w:r>
      <w:r w:rsidR="00D6324A" w:rsidRPr="00132AF8">
        <w:rPr>
          <w:rFonts w:ascii="Tahoma" w:hAnsi="Tahoma" w:cs="Tahoma"/>
          <w:sz w:val="24"/>
          <w:szCs w:val="24"/>
        </w:rPr>
        <w:t>undeveloped.</w:t>
      </w:r>
      <w:r w:rsidR="005D0CD6" w:rsidRPr="00132AF8">
        <w:rPr>
          <w:rFonts w:ascii="Tahoma" w:hAnsi="Tahoma" w:cs="Tahoma"/>
        </w:rPr>
        <w:t xml:space="preserve"> </w:t>
      </w:r>
      <w:r w:rsidR="005D0CD6" w:rsidRPr="00132AF8">
        <w:rPr>
          <w:rFonts w:ascii="Tahoma" w:hAnsi="Tahoma" w:cs="Tahoma"/>
          <w:sz w:val="24"/>
          <w:szCs w:val="24"/>
        </w:rPr>
        <w:t xml:space="preserve">There are </w:t>
      </w:r>
      <w:proofErr w:type="gramStart"/>
      <w:r w:rsidR="005D0CD6" w:rsidRPr="00132AF8">
        <w:rPr>
          <w:rFonts w:ascii="Tahoma" w:hAnsi="Tahoma" w:cs="Tahoma"/>
          <w:sz w:val="24"/>
          <w:szCs w:val="24"/>
        </w:rPr>
        <w:t>no extant planning permissions nor</w:t>
      </w:r>
      <w:proofErr w:type="gramEnd"/>
      <w:r w:rsidR="005D0CD6" w:rsidRPr="00132AF8">
        <w:rPr>
          <w:rFonts w:ascii="Tahoma" w:hAnsi="Tahoma" w:cs="Tahoma"/>
          <w:sz w:val="24"/>
          <w:szCs w:val="24"/>
        </w:rPr>
        <w:t xml:space="preserve"> any applications currently under consideration.</w:t>
      </w:r>
    </w:p>
    <w:p w:rsidR="00D6324A" w:rsidRPr="00132AF8" w:rsidRDefault="00D6324A"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.13</w:t>
      </w:r>
      <w:r w:rsidR="00F52BA9" w:rsidRPr="00132AF8">
        <w:rPr>
          <w:rFonts w:ascii="Tahoma" w:hAnsi="Tahoma" w:cs="Tahoma"/>
          <w:sz w:val="24"/>
          <w:szCs w:val="24"/>
        </w:rPr>
        <w:t xml:space="preserve"> </w:t>
      </w:r>
      <w:r w:rsidR="003F2672">
        <w:rPr>
          <w:rFonts w:ascii="Tahoma" w:hAnsi="Tahoma" w:cs="Tahoma"/>
          <w:sz w:val="24"/>
          <w:szCs w:val="24"/>
        </w:rPr>
        <w:tab/>
      </w:r>
      <w:proofErr w:type="spellStart"/>
      <w:r w:rsidR="00B64A3A" w:rsidRPr="00132AF8">
        <w:rPr>
          <w:rFonts w:ascii="Tahoma" w:hAnsi="Tahoma" w:cs="Tahoma"/>
          <w:sz w:val="24"/>
          <w:szCs w:val="24"/>
        </w:rPr>
        <w:t>Damolly</w:t>
      </w:r>
      <w:proofErr w:type="spellEnd"/>
      <w:r w:rsidR="00B64A3A" w:rsidRPr="00132AF8">
        <w:rPr>
          <w:rFonts w:ascii="Tahoma" w:hAnsi="Tahoma" w:cs="Tahoma"/>
          <w:sz w:val="24"/>
          <w:szCs w:val="24"/>
        </w:rPr>
        <w:t xml:space="preserve"> (NY68) 2.86 hectares</w:t>
      </w:r>
      <w:r w:rsidR="00D6324A" w:rsidRPr="00132AF8">
        <w:rPr>
          <w:rFonts w:ascii="Tahoma" w:hAnsi="Tahoma" w:cs="Tahoma"/>
          <w:sz w:val="24"/>
          <w:szCs w:val="24"/>
        </w:rPr>
        <w:t xml:space="preserve">. This brownfield site </w:t>
      </w:r>
      <w:r w:rsidR="00E279CA" w:rsidRPr="00132AF8">
        <w:rPr>
          <w:rFonts w:ascii="Tahoma" w:hAnsi="Tahoma" w:cs="Tahoma"/>
          <w:sz w:val="24"/>
          <w:szCs w:val="24"/>
        </w:rPr>
        <w:t xml:space="preserve">comprising a former Customs and Excise import/export station and livestock pens </w:t>
      </w:r>
      <w:r w:rsidR="00D6324A" w:rsidRPr="00132AF8">
        <w:rPr>
          <w:rFonts w:ascii="Tahoma" w:hAnsi="Tahoma" w:cs="Tahoma"/>
          <w:sz w:val="24"/>
          <w:szCs w:val="24"/>
        </w:rPr>
        <w:t xml:space="preserve">is currently vacant. </w:t>
      </w:r>
      <w:r w:rsidR="005D0CD6" w:rsidRPr="00132AF8">
        <w:rPr>
          <w:rFonts w:ascii="Tahoma" w:hAnsi="Tahoma" w:cs="Tahoma"/>
          <w:sz w:val="24"/>
          <w:szCs w:val="24"/>
        </w:rPr>
        <w:t>An application for a mix</w:t>
      </w:r>
      <w:r w:rsidR="00E279CA" w:rsidRPr="00132AF8">
        <w:rPr>
          <w:rFonts w:ascii="Tahoma" w:hAnsi="Tahoma" w:cs="Tahoma"/>
          <w:sz w:val="24"/>
          <w:szCs w:val="24"/>
        </w:rPr>
        <w:t>e</w:t>
      </w:r>
      <w:r w:rsidR="00EA3EEB" w:rsidRPr="00132AF8">
        <w:rPr>
          <w:rFonts w:ascii="Tahoma" w:hAnsi="Tahoma" w:cs="Tahoma"/>
          <w:sz w:val="24"/>
          <w:szCs w:val="24"/>
        </w:rPr>
        <w:t>d use development which includes</w:t>
      </w:r>
      <w:r w:rsidR="00E279CA" w:rsidRPr="00132AF8">
        <w:rPr>
          <w:rFonts w:ascii="Tahoma" w:hAnsi="Tahoma" w:cs="Tahoma"/>
          <w:sz w:val="24"/>
          <w:szCs w:val="24"/>
        </w:rPr>
        <w:t xml:space="preserve"> </w:t>
      </w:r>
      <w:r w:rsidR="005D0CD6" w:rsidRPr="00132AF8">
        <w:rPr>
          <w:rFonts w:ascii="Tahoma" w:hAnsi="Tahoma" w:cs="Tahoma"/>
          <w:sz w:val="24"/>
          <w:szCs w:val="24"/>
        </w:rPr>
        <w:t>70 No. l</w:t>
      </w:r>
      <w:r w:rsidR="00E279CA" w:rsidRPr="00132AF8">
        <w:rPr>
          <w:rFonts w:ascii="Tahoma" w:hAnsi="Tahoma" w:cs="Tahoma"/>
          <w:sz w:val="24"/>
          <w:szCs w:val="24"/>
        </w:rPr>
        <w:t>ight industrial/business units on the site was approved in August 2014.</w:t>
      </w:r>
    </w:p>
    <w:p w:rsidR="00D6324A" w:rsidRPr="00132AF8" w:rsidRDefault="00D6324A" w:rsidP="005B7DCE">
      <w:pPr>
        <w:autoSpaceDE w:val="0"/>
        <w:autoSpaceDN w:val="0"/>
        <w:adjustRightInd w:val="0"/>
        <w:spacing w:after="0" w:line="240" w:lineRule="auto"/>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proofErr w:type="gramStart"/>
      <w:r w:rsidRPr="00132AF8">
        <w:rPr>
          <w:rFonts w:ascii="Tahoma" w:hAnsi="Tahoma" w:cs="Tahoma"/>
          <w:b/>
          <w:sz w:val="24"/>
          <w:szCs w:val="24"/>
        </w:rPr>
        <w:t>6</w:t>
      </w:r>
      <w:r w:rsidR="001120ED" w:rsidRPr="00132AF8">
        <w:rPr>
          <w:rFonts w:ascii="Tahoma" w:hAnsi="Tahoma" w:cs="Tahoma"/>
          <w:b/>
          <w:sz w:val="24"/>
          <w:szCs w:val="24"/>
        </w:rPr>
        <w:t>.14</w:t>
      </w:r>
      <w:r w:rsidR="00E17D57" w:rsidRPr="00132AF8">
        <w:rPr>
          <w:rFonts w:ascii="Tahoma" w:hAnsi="Tahoma" w:cs="Tahoma"/>
          <w:sz w:val="24"/>
          <w:szCs w:val="24"/>
        </w:rPr>
        <w:t xml:space="preserve"> </w:t>
      </w:r>
      <w:r w:rsidR="003F2672">
        <w:rPr>
          <w:rFonts w:ascii="Tahoma" w:hAnsi="Tahoma" w:cs="Tahoma"/>
          <w:sz w:val="24"/>
          <w:szCs w:val="24"/>
        </w:rPr>
        <w:tab/>
      </w:r>
      <w:r w:rsidR="00545425">
        <w:rPr>
          <w:rFonts w:ascii="Tahoma" w:hAnsi="Tahoma" w:cs="Tahoma"/>
          <w:sz w:val="24"/>
          <w:szCs w:val="24"/>
        </w:rPr>
        <w:t xml:space="preserve">Chancellors Road (NY69) 19.46 </w:t>
      </w:r>
      <w:r w:rsidR="00B64A3A" w:rsidRPr="00132AF8">
        <w:rPr>
          <w:rFonts w:ascii="Tahoma" w:hAnsi="Tahoma" w:cs="Tahoma"/>
          <w:sz w:val="24"/>
          <w:szCs w:val="24"/>
        </w:rPr>
        <w:t>hectares</w:t>
      </w:r>
      <w:r w:rsidR="00185131" w:rsidRPr="00132AF8">
        <w:rPr>
          <w:rFonts w:ascii="Tahoma" w:hAnsi="Tahoma" w:cs="Tahoma"/>
          <w:sz w:val="24"/>
          <w:szCs w:val="24"/>
        </w:rPr>
        <w:t>.</w:t>
      </w:r>
      <w:proofErr w:type="gramEnd"/>
      <w:r w:rsidR="00185131" w:rsidRPr="00132AF8">
        <w:rPr>
          <w:rFonts w:ascii="Tahoma" w:hAnsi="Tahoma" w:cs="Tahoma"/>
          <w:sz w:val="24"/>
          <w:szCs w:val="24"/>
        </w:rPr>
        <w:t xml:space="preserve"> To date this site remains undeveloped. </w:t>
      </w:r>
      <w:r w:rsidR="002B26E3" w:rsidRPr="00132AF8">
        <w:rPr>
          <w:rFonts w:ascii="Tahoma" w:hAnsi="Tahoma" w:cs="Tahoma"/>
          <w:sz w:val="24"/>
          <w:szCs w:val="24"/>
        </w:rPr>
        <w:t xml:space="preserve">An application for a light industrial factory and associated office on 0.5 hectares of the zoned site, with access onto the </w:t>
      </w:r>
      <w:proofErr w:type="spellStart"/>
      <w:r w:rsidR="002B26E3" w:rsidRPr="00132AF8">
        <w:rPr>
          <w:rFonts w:ascii="Tahoma" w:hAnsi="Tahoma" w:cs="Tahoma"/>
          <w:sz w:val="24"/>
          <w:szCs w:val="24"/>
        </w:rPr>
        <w:t>Carnagat</w:t>
      </w:r>
      <w:proofErr w:type="spellEnd"/>
      <w:r w:rsidR="002B26E3" w:rsidRPr="00132AF8">
        <w:rPr>
          <w:rFonts w:ascii="Tahoma" w:hAnsi="Tahoma" w:cs="Tahoma"/>
          <w:sz w:val="24"/>
          <w:szCs w:val="24"/>
        </w:rPr>
        <w:t xml:space="preserve"> Rd is currently under consideration. </w:t>
      </w:r>
      <w:r w:rsidR="00185131" w:rsidRPr="00132AF8">
        <w:rPr>
          <w:rFonts w:ascii="Tahoma" w:hAnsi="Tahoma" w:cs="Tahoma"/>
          <w:sz w:val="24"/>
          <w:szCs w:val="24"/>
        </w:rPr>
        <w:t xml:space="preserve">A key site requirement </w:t>
      </w:r>
      <w:r w:rsidR="002B26E3" w:rsidRPr="00132AF8">
        <w:rPr>
          <w:rFonts w:ascii="Tahoma" w:hAnsi="Tahoma" w:cs="Tahoma"/>
          <w:sz w:val="24"/>
          <w:szCs w:val="24"/>
        </w:rPr>
        <w:t xml:space="preserve">of this zoning </w:t>
      </w:r>
      <w:r w:rsidR="00185131" w:rsidRPr="00132AF8">
        <w:rPr>
          <w:rFonts w:ascii="Tahoma" w:hAnsi="Tahoma" w:cs="Tahoma"/>
          <w:sz w:val="24"/>
          <w:szCs w:val="24"/>
        </w:rPr>
        <w:t xml:space="preserve">is the realignment and widening of Chancellors </w:t>
      </w:r>
      <w:r w:rsidR="00D6324A" w:rsidRPr="00132AF8">
        <w:rPr>
          <w:rFonts w:ascii="Tahoma" w:hAnsi="Tahoma" w:cs="Tahoma"/>
          <w:sz w:val="24"/>
          <w:szCs w:val="24"/>
        </w:rPr>
        <w:t>R</w:t>
      </w:r>
      <w:r w:rsidR="00B64A3A" w:rsidRPr="00132AF8">
        <w:rPr>
          <w:rFonts w:ascii="Tahoma" w:hAnsi="Tahoma" w:cs="Tahoma"/>
          <w:sz w:val="24"/>
          <w:szCs w:val="24"/>
        </w:rPr>
        <w:t xml:space="preserve">oad along the site frontage and </w:t>
      </w:r>
      <w:r w:rsidR="00D6324A" w:rsidRPr="00132AF8">
        <w:rPr>
          <w:rFonts w:ascii="Tahoma" w:hAnsi="Tahoma" w:cs="Tahoma"/>
          <w:sz w:val="24"/>
          <w:szCs w:val="24"/>
        </w:rPr>
        <w:t xml:space="preserve">extending </w:t>
      </w:r>
      <w:r w:rsidR="00B64A3A" w:rsidRPr="00132AF8">
        <w:rPr>
          <w:rFonts w:ascii="Tahoma" w:hAnsi="Tahoma" w:cs="Tahoma"/>
          <w:sz w:val="24"/>
          <w:szCs w:val="24"/>
        </w:rPr>
        <w:t xml:space="preserve">this </w:t>
      </w:r>
      <w:r w:rsidR="00D6324A" w:rsidRPr="00132AF8">
        <w:rPr>
          <w:rFonts w:ascii="Tahoma" w:hAnsi="Tahoma" w:cs="Tahoma"/>
          <w:sz w:val="24"/>
          <w:szCs w:val="24"/>
        </w:rPr>
        <w:t xml:space="preserve">to link with the upgraded access to the A1. </w:t>
      </w:r>
      <w:r w:rsidR="00E614FA" w:rsidRPr="00132AF8">
        <w:rPr>
          <w:rFonts w:ascii="Tahoma" w:hAnsi="Tahoma" w:cs="Tahoma"/>
          <w:sz w:val="24"/>
          <w:szCs w:val="24"/>
        </w:rPr>
        <w:t>There are therefore significant infrastructure costs associated with the future development of this site.</w:t>
      </w:r>
      <w:r w:rsidR="008213D7" w:rsidRPr="00132AF8">
        <w:rPr>
          <w:rFonts w:ascii="Tahoma" w:hAnsi="Tahoma" w:cs="Tahoma"/>
        </w:rPr>
        <w:t xml:space="preserve"> </w:t>
      </w:r>
      <w:r w:rsidR="008213D7" w:rsidRPr="00132AF8">
        <w:rPr>
          <w:rFonts w:ascii="Tahoma" w:hAnsi="Tahoma" w:cs="Tahoma"/>
          <w:sz w:val="24"/>
          <w:szCs w:val="24"/>
        </w:rPr>
        <w:t xml:space="preserve">There are no extant planning permissions </w:t>
      </w:r>
      <w:r w:rsidR="002B26E3" w:rsidRPr="00132AF8">
        <w:rPr>
          <w:rFonts w:ascii="Tahoma" w:hAnsi="Tahoma" w:cs="Tahoma"/>
          <w:sz w:val="24"/>
          <w:szCs w:val="24"/>
        </w:rPr>
        <w:t>on the site.</w:t>
      </w:r>
    </w:p>
    <w:p w:rsidR="00F07BCB" w:rsidRPr="00132AF8" w:rsidRDefault="00F07BCB" w:rsidP="00FC76CD">
      <w:pPr>
        <w:autoSpaceDE w:val="0"/>
        <w:autoSpaceDN w:val="0"/>
        <w:adjustRightInd w:val="0"/>
        <w:spacing w:after="0" w:line="240" w:lineRule="auto"/>
        <w:jc w:val="both"/>
        <w:rPr>
          <w:rFonts w:ascii="Tahoma" w:hAnsi="Tahoma" w:cs="Tahoma"/>
          <w:sz w:val="24"/>
          <w:szCs w:val="24"/>
        </w:rPr>
      </w:pPr>
    </w:p>
    <w:p w:rsidR="00F07BC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.15</w:t>
      </w:r>
      <w:r w:rsidR="00E17D57" w:rsidRPr="00132AF8">
        <w:rPr>
          <w:rFonts w:ascii="Tahoma" w:hAnsi="Tahoma" w:cs="Tahoma"/>
          <w:sz w:val="24"/>
          <w:szCs w:val="24"/>
        </w:rPr>
        <w:t xml:space="preserve"> </w:t>
      </w:r>
      <w:r w:rsidR="003F2672">
        <w:rPr>
          <w:rFonts w:ascii="Tahoma" w:hAnsi="Tahoma" w:cs="Tahoma"/>
          <w:sz w:val="24"/>
          <w:szCs w:val="24"/>
        </w:rPr>
        <w:tab/>
      </w:r>
      <w:r w:rsidR="00742792" w:rsidRPr="00132AF8">
        <w:rPr>
          <w:rFonts w:ascii="Tahoma" w:hAnsi="Tahoma" w:cs="Tahoma"/>
          <w:sz w:val="24"/>
          <w:szCs w:val="24"/>
        </w:rPr>
        <w:t>The BNMAP zoned</w:t>
      </w:r>
      <w:r w:rsidR="00EF3F4A" w:rsidRPr="00132AF8">
        <w:rPr>
          <w:rFonts w:ascii="Tahoma" w:hAnsi="Tahoma" w:cs="Tahoma"/>
          <w:sz w:val="24"/>
          <w:szCs w:val="24"/>
        </w:rPr>
        <w:t xml:space="preserve"> 7.28 </w:t>
      </w:r>
      <w:r w:rsidR="000C20D6" w:rsidRPr="00132AF8">
        <w:rPr>
          <w:rFonts w:ascii="Tahoma" w:hAnsi="Tahoma" w:cs="Tahoma"/>
          <w:sz w:val="24"/>
          <w:szCs w:val="24"/>
        </w:rPr>
        <w:t>he</w:t>
      </w:r>
      <w:r w:rsidR="00742792" w:rsidRPr="00132AF8">
        <w:rPr>
          <w:rFonts w:ascii="Tahoma" w:hAnsi="Tahoma" w:cs="Tahoma"/>
          <w:sz w:val="24"/>
          <w:szCs w:val="24"/>
        </w:rPr>
        <w:t xml:space="preserve">ctares at </w:t>
      </w:r>
      <w:proofErr w:type="spellStart"/>
      <w:r w:rsidR="006B08DB" w:rsidRPr="00132AF8">
        <w:rPr>
          <w:rFonts w:ascii="Tahoma" w:hAnsi="Tahoma" w:cs="Tahoma"/>
          <w:sz w:val="24"/>
          <w:szCs w:val="24"/>
        </w:rPr>
        <w:t>Loughway</w:t>
      </w:r>
      <w:proofErr w:type="spellEnd"/>
      <w:r w:rsidR="006B08DB" w:rsidRPr="00132AF8">
        <w:rPr>
          <w:rFonts w:ascii="Tahoma" w:hAnsi="Tahoma" w:cs="Tahoma"/>
          <w:sz w:val="24"/>
          <w:szCs w:val="24"/>
        </w:rPr>
        <w:t xml:space="preserve"> (NY70)</w:t>
      </w:r>
      <w:r w:rsidR="001637A7" w:rsidRPr="00132AF8">
        <w:rPr>
          <w:rFonts w:ascii="Tahoma" w:hAnsi="Tahoma" w:cs="Tahoma"/>
          <w:sz w:val="24"/>
          <w:szCs w:val="24"/>
        </w:rPr>
        <w:t xml:space="preserve"> within the </w:t>
      </w:r>
      <w:proofErr w:type="spellStart"/>
      <w:r w:rsidR="001637A7" w:rsidRPr="00132AF8">
        <w:rPr>
          <w:rFonts w:ascii="Tahoma" w:hAnsi="Tahoma" w:cs="Tahoma"/>
          <w:sz w:val="24"/>
          <w:szCs w:val="24"/>
        </w:rPr>
        <w:t>Greenbank</w:t>
      </w:r>
      <w:proofErr w:type="spellEnd"/>
      <w:r w:rsidR="001637A7" w:rsidRPr="00132AF8">
        <w:rPr>
          <w:rFonts w:ascii="Tahoma" w:hAnsi="Tahoma" w:cs="Tahoma"/>
          <w:sz w:val="24"/>
          <w:szCs w:val="24"/>
        </w:rPr>
        <w:t xml:space="preserve"> Industrial Estate</w:t>
      </w:r>
      <w:r w:rsidR="000D730A" w:rsidRPr="00132AF8">
        <w:rPr>
          <w:rFonts w:ascii="Tahoma" w:hAnsi="Tahoma" w:cs="Tahoma"/>
          <w:sz w:val="24"/>
          <w:szCs w:val="24"/>
        </w:rPr>
        <w:t>. Currently 4.19 hectares remain</w:t>
      </w:r>
      <w:r w:rsidR="00983249" w:rsidRPr="00132AF8">
        <w:rPr>
          <w:rFonts w:ascii="Tahoma" w:hAnsi="Tahoma" w:cs="Tahoma"/>
          <w:sz w:val="24"/>
          <w:szCs w:val="24"/>
        </w:rPr>
        <w:t xml:space="preserve"> undeveloped</w:t>
      </w:r>
      <w:r w:rsidR="00742792" w:rsidRPr="00132AF8">
        <w:rPr>
          <w:rFonts w:ascii="Tahoma" w:hAnsi="Tahoma" w:cs="Tahoma"/>
          <w:sz w:val="24"/>
          <w:szCs w:val="24"/>
        </w:rPr>
        <w:t>.</w:t>
      </w:r>
      <w:r w:rsidR="00B63447" w:rsidRPr="00132AF8">
        <w:rPr>
          <w:rFonts w:ascii="Tahoma" w:hAnsi="Tahoma" w:cs="Tahoma"/>
        </w:rPr>
        <w:t xml:space="preserve"> </w:t>
      </w:r>
      <w:r w:rsidR="00B63447" w:rsidRPr="00132AF8">
        <w:rPr>
          <w:rFonts w:ascii="Tahoma" w:hAnsi="Tahoma" w:cs="Tahoma"/>
          <w:sz w:val="24"/>
          <w:szCs w:val="24"/>
        </w:rPr>
        <w:t>Invest NI</w:t>
      </w:r>
      <w:r w:rsidR="001637A7" w:rsidRPr="00132AF8">
        <w:rPr>
          <w:rFonts w:ascii="Tahoma" w:hAnsi="Tahoma" w:cs="Tahoma"/>
          <w:sz w:val="24"/>
          <w:szCs w:val="24"/>
        </w:rPr>
        <w:t>’s</w:t>
      </w:r>
      <w:r w:rsidR="00B63447" w:rsidRPr="00132AF8">
        <w:rPr>
          <w:rFonts w:ascii="Tahoma" w:hAnsi="Tahoma" w:cs="Tahoma"/>
          <w:sz w:val="24"/>
          <w:szCs w:val="24"/>
        </w:rPr>
        <w:t xml:space="preserve"> land holding within the </w:t>
      </w:r>
      <w:proofErr w:type="spellStart"/>
      <w:r w:rsidR="00B63447" w:rsidRPr="00132AF8">
        <w:rPr>
          <w:rFonts w:ascii="Tahoma" w:hAnsi="Tahoma" w:cs="Tahoma"/>
          <w:sz w:val="24"/>
          <w:szCs w:val="24"/>
        </w:rPr>
        <w:t>Greenbank</w:t>
      </w:r>
      <w:proofErr w:type="spellEnd"/>
      <w:r w:rsidR="00B63447" w:rsidRPr="00132AF8">
        <w:rPr>
          <w:rFonts w:ascii="Tahoma" w:hAnsi="Tahoma" w:cs="Tahoma"/>
          <w:sz w:val="24"/>
          <w:szCs w:val="24"/>
        </w:rPr>
        <w:t xml:space="preserve"> Estate is now largely developed with only 1.44 </w:t>
      </w:r>
      <w:r w:rsidR="00FC76CD">
        <w:rPr>
          <w:rFonts w:ascii="Tahoma" w:hAnsi="Tahoma" w:cs="Tahoma"/>
          <w:sz w:val="24"/>
          <w:szCs w:val="24"/>
        </w:rPr>
        <w:t xml:space="preserve">hectares </w:t>
      </w:r>
      <w:r w:rsidR="00B63447" w:rsidRPr="00132AF8">
        <w:rPr>
          <w:rFonts w:ascii="Tahoma" w:hAnsi="Tahoma" w:cs="Tahoma"/>
          <w:sz w:val="24"/>
          <w:szCs w:val="24"/>
        </w:rPr>
        <w:t>remaining.</w:t>
      </w:r>
      <w:r w:rsidR="00B2708B" w:rsidRPr="00132AF8">
        <w:rPr>
          <w:rFonts w:ascii="Tahoma" w:hAnsi="Tahoma" w:cs="Tahoma"/>
          <w:sz w:val="24"/>
          <w:szCs w:val="24"/>
        </w:rPr>
        <w:t xml:space="preserve"> However given the remaining undeveloped land at </w:t>
      </w:r>
      <w:proofErr w:type="spellStart"/>
      <w:r w:rsidR="00B2708B" w:rsidRPr="00132AF8">
        <w:rPr>
          <w:rFonts w:ascii="Tahoma" w:hAnsi="Tahoma" w:cs="Tahoma"/>
          <w:sz w:val="24"/>
          <w:szCs w:val="24"/>
        </w:rPr>
        <w:t>Carnbane</w:t>
      </w:r>
      <w:proofErr w:type="spellEnd"/>
      <w:r w:rsidR="00C22CA8" w:rsidRPr="00132AF8">
        <w:rPr>
          <w:rFonts w:ascii="Tahoma" w:hAnsi="Tahoma" w:cs="Tahoma"/>
          <w:sz w:val="24"/>
          <w:szCs w:val="24"/>
        </w:rPr>
        <w:t>,</w:t>
      </w:r>
      <w:r w:rsidR="00B2708B" w:rsidRPr="00132AF8">
        <w:rPr>
          <w:rFonts w:ascii="Tahoma" w:hAnsi="Tahoma" w:cs="Tahoma"/>
          <w:sz w:val="24"/>
          <w:szCs w:val="24"/>
        </w:rPr>
        <w:t xml:space="preserve"> Invest NI </w:t>
      </w:r>
      <w:proofErr w:type="gramStart"/>
      <w:r w:rsidR="00B2708B" w:rsidRPr="00132AF8">
        <w:rPr>
          <w:rFonts w:ascii="Tahoma" w:hAnsi="Tahoma" w:cs="Tahoma"/>
          <w:sz w:val="24"/>
          <w:szCs w:val="24"/>
        </w:rPr>
        <w:t>have</w:t>
      </w:r>
      <w:proofErr w:type="gramEnd"/>
      <w:r w:rsidR="00B2708B" w:rsidRPr="00132AF8">
        <w:rPr>
          <w:rFonts w:ascii="Tahoma" w:hAnsi="Tahoma" w:cs="Tahoma"/>
          <w:sz w:val="24"/>
          <w:szCs w:val="24"/>
        </w:rPr>
        <w:t xml:space="preserve"> not identified any immediate need for additional land in Newry.</w:t>
      </w:r>
    </w:p>
    <w:p w:rsidR="0012372B" w:rsidRPr="00132AF8" w:rsidRDefault="0012372B" w:rsidP="005B7DCE">
      <w:pPr>
        <w:autoSpaceDE w:val="0"/>
        <w:autoSpaceDN w:val="0"/>
        <w:adjustRightInd w:val="0"/>
        <w:spacing w:after="0" w:line="240" w:lineRule="auto"/>
        <w:rPr>
          <w:rFonts w:ascii="Tahoma" w:hAnsi="Tahoma" w:cs="Tahoma"/>
          <w:sz w:val="24"/>
          <w:szCs w:val="24"/>
        </w:rPr>
      </w:pPr>
    </w:p>
    <w:p w:rsidR="0012372B" w:rsidRPr="00132AF8" w:rsidRDefault="003F20C9"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.16</w:t>
      </w:r>
      <w:r w:rsidR="00E17D57" w:rsidRPr="00132AF8">
        <w:rPr>
          <w:rFonts w:ascii="Tahoma" w:hAnsi="Tahoma" w:cs="Tahoma"/>
          <w:sz w:val="24"/>
          <w:szCs w:val="24"/>
        </w:rPr>
        <w:t xml:space="preserve"> </w:t>
      </w:r>
      <w:r w:rsidR="003F2672">
        <w:rPr>
          <w:rFonts w:ascii="Tahoma" w:hAnsi="Tahoma" w:cs="Tahoma"/>
          <w:sz w:val="24"/>
          <w:szCs w:val="24"/>
        </w:rPr>
        <w:tab/>
      </w:r>
      <w:r w:rsidR="00B64A3A" w:rsidRPr="00132AF8">
        <w:rPr>
          <w:rFonts w:ascii="Tahoma" w:hAnsi="Tahoma" w:cs="Tahoma"/>
          <w:sz w:val="24"/>
          <w:szCs w:val="24"/>
        </w:rPr>
        <w:t>Mixed use zoning (NY71) 2.85 hectares</w:t>
      </w:r>
      <w:r w:rsidR="0012372B" w:rsidRPr="00132AF8">
        <w:rPr>
          <w:rFonts w:ascii="Tahoma" w:hAnsi="Tahoma" w:cs="Tahoma"/>
          <w:sz w:val="24"/>
          <w:szCs w:val="24"/>
        </w:rPr>
        <w:t xml:space="preserve"> at </w:t>
      </w:r>
      <w:proofErr w:type="spellStart"/>
      <w:r w:rsidR="0012372B" w:rsidRPr="00132AF8">
        <w:rPr>
          <w:rFonts w:ascii="Tahoma" w:hAnsi="Tahoma" w:cs="Tahoma"/>
          <w:sz w:val="24"/>
          <w:szCs w:val="24"/>
        </w:rPr>
        <w:t>Tandragee</w:t>
      </w:r>
      <w:proofErr w:type="spellEnd"/>
      <w:r w:rsidR="0012372B" w:rsidRPr="00132AF8">
        <w:rPr>
          <w:rFonts w:ascii="Tahoma" w:hAnsi="Tahoma" w:cs="Tahoma"/>
          <w:sz w:val="24"/>
          <w:szCs w:val="24"/>
        </w:rPr>
        <w:t xml:space="preserve"> Road.</w:t>
      </w:r>
      <w:r w:rsidR="000D730A" w:rsidRPr="00132AF8">
        <w:rPr>
          <w:rFonts w:ascii="Tahoma" w:hAnsi="Tahoma" w:cs="Tahoma"/>
          <w:sz w:val="24"/>
          <w:szCs w:val="24"/>
        </w:rPr>
        <w:t xml:space="preserve"> Currently 2.76 hectares remain undeveloped.</w:t>
      </w:r>
    </w:p>
    <w:p w:rsidR="000D730A" w:rsidRPr="00132AF8" w:rsidRDefault="000D730A" w:rsidP="005B7DCE">
      <w:pPr>
        <w:autoSpaceDE w:val="0"/>
        <w:autoSpaceDN w:val="0"/>
        <w:adjustRightInd w:val="0"/>
        <w:spacing w:after="0" w:line="240" w:lineRule="auto"/>
        <w:rPr>
          <w:rFonts w:ascii="Tahoma" w:hAnsi="Tahoma" w:cs="Tahoma"/>
          <w:sz w:val="24"/>
          <w:szCs w:val="24"/>
        </w:rPr>
      </w:pPr>
    </w:p>
    <w:p w:rsidR="008A12C7" w:rsidRDefault="008A12C7" w:rsidP="005B7DCE">
      <w:pPr>
        <w:autoSpaceDE w:val="0"/>
        <w:autoSpaceDN w:val="0"/>
        <w:adjustRightInd w:val="0"/>
        <w:spacing w:after="0" w:line="240" w:lineRule="auto"/>
        <w:rPr>
          <w:rFonts w:ascii="Arial" w:hAnsi="Arial" w:cs="Arial"/>
          <w:sz w:val="24"/>
          <w:szCs w:val="24"/>
        </w:rPr>
      </w:pPr>
    </w:p>
    <w:p w:rsidR="00132AF8" w:rsidRDefault="00132AF8" w:rsidP="005B7DCE">
      <w:pPr>
        <w:autoSpaceDE w:val="0"/>
        <w:autoSpaceDN w:val="0"/>
        <w:adjustRightInd w:val="0"/>
        <w:spacing w:after="0" w:line="240" w:lineRule="auto"/>
        <w:rPr>
          <w:rFonts w:ascii="Arial" w:hAnsi="Arial" w:cs="Arial"/>
          <w:sz w:val="24"/>
          <w:szCs w:val="24"/>
        </w:rPr>
      </w:pPr>
    </w:p>
    <w:p w:rsidR="00132AF8" w:rsidRDefault="00132AF8" w:rsidP="005B7DCE">
      <w:pPr>
        <w:autoSpaceDE w:val="0"/>
        <w:autoSpaceDN w:val="0"/>
        <w:adjustRightInd w:val="0"/>
        <w:spacing w:after="0" w:line="240" w:lineRule="auto"/>
        <w:rPr>
          <w:rFonts w:ascii="Arial" w:hAnsi="Arial" w:cs="Arial"/>
          <w:sz w:val="24"/>
          <w:szCs w:val="24"/>
        </w:rPr>
      </w:pPr>
    </w:p>
    <w:p w:rsidR="00132AF8" w:rsidRDefault="00132AF8" w:rsidP="005B7DCE">
      <w:pPr>
        <w:autoSpaceDE w:val="0"/>
        <w:autoSpaceDN w:val="0"/>
        <w:adjustRightInd w:val="0"/>
        <w:spacing w:after="0" w:line="240" w:lineRule="auto"/>
        <w:rPr>
          <w:rFonts w:ascii="Arial" w:hAnsi="Arial" w:cs="Arial"/>
          <w:sz w:val="24"/>
          <w:szCs w:val="24"/>
        </w:rPr>
      </w:pPr>
    </w:p>
    <w:p w:rsidR="00132AF8" w:rsidRDefault="00132AF8" w:rsidP="005B7DCE">
      <w:pPr>
        <w:autoSpaceDE w:val="0"/>
        <w:autoSpaceDN w:val="0"/>
        <w:adjustRightInd w:val="0"/>
        <w:spacing w:after="0" w:line="240" w:lineRule="auto"/>
        <w:rPr>
          <w:rFonts w:ascii="Arial" w:hAnsi="Arial" w:cs="Arial"/>
          <w:sz w:val="24"/>
          <w:szCs w:val="24"/>
        </w:rPr>
      </w:pPr>
    </w:p>
    <w:p w:rsidR="008C6318" w:rsidRPr="00132AF8" w:rsidRDefault="008C6318" w:rsidP="005B7DCE">
      <w:pPr>
        <w:autoSpaceDE w:val="0"/>
        <w:autoSpaceDN w:val="0"/>
        <w:adjustRightInd w:val="0"/>
        <w:spacing w:after="0" w:line="240" w:lineRule="auto"/>
        <w:rPr>
          <w:rFonts w:ascii="Tahoma" w:hAnsi="Tahoma" w:cs="Tahoma"/>
          <w:b/>
          <w:sz w:val="24"/>
          <w:szCs w:val="24"/>
        </w:rPr>
      </w:pPr>
      <w:proofErr w:type="spellStart"/>
      <w:r w:rsidRPr="00132AF8">
        <w:rPr>
          <w:rFonts w:ascii="Tahoma" w:hAnsi="Tahoma" w:cs="Tahoma"/>
          <w:b/>
          <w:sz w:val="24"/>
          <w:szCs w:val="24"/>
        </w:rPr>
        <w:lastRenderedPageBreak/>
        <w:t>Crossmaglen</w:t>
      </w:r>
      <w:proofErr w:type="spellEnd"/>
      <w:r w:rsidRPr="00132AF8">
        <w:rPr>
          <w:rFonts w:ascii="Tahoma" w:hAnsi="Tahoma" w:cs="Tahoma"/>
          <w:b/>
          <w:sz w:val="24"/>
          <w:szCs w:val="24"/>
        </w:rPr>
        <w:t xml:space="preserve"> </w:t>
      </w:r>
    </w:p>
    <w:p w:rsidR="008C6318" w:rsidRPr="00132AF8" w:rsidRDefault="008C6318" w:rsidP="005B7DCE">
      <w:pPr>
        <w:autoSpaceDE w:val="0"/>
        <w:autoSpaceDN w:val="0"/>
        <w:adjustRightInd w:val="0"/>
        <w:spacing w:after="0" w:line="240" w:lineRule="auto"/>
        <w:rPr>
          <w:rFonts w:ascii="Tahoma" w:hAnsi="Tahoma" w:cs="Tahoma"/>
          <w:b/>
          <w:sz w:val="24"/>
          <w:szCs w:val="24"/>
        </w:rPr>
      </w:pPr>
    </w:p>
    <w:p w:rsidR="0012372B" w:rsidRPr="00132AF8"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.17</w:t>
      </w:r>
      <w:r w:rsidR="00D27EE3" w:rsidRPr="00132AF8">
        <w:rPr>
          <w:rFonts w:ascii="Tahoma" w:hAnsi="Tahoma" w:cs="Tahoma"/>
          <w:sz w:val="24"/>
          <w:szCs w:val="24"/>
        </w:rPr>
        <w:t xml:space="preserve"> </w:t>
      </w:r>
      <w:r w:rsidR="003F2672">
        <w:rPr>
          <w:rFonts w:ascii="Tahoma" w:hAnsi="Tahoma" w:cs="Tahoma"/>
          <w:sz w:val="24"/>
          <w:szCs w:val="24"/>
        </w:rPr>
        <w:tab/>
      </w:r>
      <w:proofErr w:type="spellStart"/>
      <w:r w:rsidR="007173C8" w:rsidRPr="00132AF8">
        <w:rPr>
          <w:rFonts w:ascii="Tahoma" w:hAnsi="Tahoma" w:cs="Tahoma"/>
          <w:sz w:val="24"/>
          <w:szCs w:val="24"/>
        </w:rPr>
        <w:t>Crossmaglen</w:t>
      </w:r>
      <w:proofErr w:type="spellEnd"/>
      <w:r w:rsidR="00D04112" w:rsidRPr="00132AF8">
        <w:rPr>
          <w:rFonts w:ascii="Tahoma" w:hAnsi="Tahoma" w:cs="Tahoma"/>
          <w:sz w:val="24"/>
          <w:szCs w:val="24"/>
        </w:rPr>
        <w:t xml:space="preserve"> is a service and emplo</w:t>
      </w:r>
      <w:r w:rsidR="00486C31" w:rsidRPr="00132AF8">
        <w:rPr>
          <w:rFonts w:ascii="Tahoma" w:hAnsi="Tahoma" w:cs="Tahoma"/>
          <w:sz w:val="24"/>
          <w:szCs w:val="24"/>
        </w:rPr>
        <w:t xml:space="preserve">yment centre for the </w:t>
      </w:r>
      <w:r w:rsidR="00934A63" w:rsidRPr="00132AF8">
        <w:rPr>
          <w:rFonts w:ascii="Tahoma" w:hAnsi="Tahoma" w:cs="Tahoma"/>
          <w:sz w:val="24"/>
          <w:szCs w:val="24"/>
        </w:rPr>
        <w:t>local area and 1.65 hectares is</w:t>
      </w:r>
      <w:r w:rsidR="00486C31" w:rsidRPr="00132AF8">
        <w:rPr>
          <w:rFonts w:ascii="Tahoma" w:hAnsi="Tahoma" w:cs="Tahoma"/>
          <w:sz w:val="24"/>
          <w:szCs w:val="24"/>
        </w:rPr>
        <w:t xml:space="preserve"> </w:t>
      </w:r>
      <w:r w:rsidR="008C6318" w:rsidRPr="00132AF8">
        <w:rPr>
          <w:rFonts w:ascii="Tahoma" w:hAnsi="Tahoma" w:cs="Tahoma"/>
          <w:sz w:val="24"/>
          <w:szCs w:val="24"/>
        </w:rPr>
        <w:t>zoned for economic development off the Newry Road (CM10).</w:t>
      </w:r>
      <w:r w:rsidR="006E5014" w:rsidRPr="00132AF8">
        <w:rPr>
          <w:rFonts w:ascii="Tahoma" w:hAnsi="Tahoma" w:cs="Tahoma"/>
          <w:sz w:val="24"/>
          <w:szCs w:val="24"/>
        </w:rPr>
        <w:t xml:space="preserve"> Part of the site was approved for a Council</w:t>
      </w:r>
      <w:r w:rsidR="00934A63" w:rsidRPr="00132AF8">
        <w:rPr>
          <w:rFonts w:ascii="Tahoma" w:hAnsi="Tahoma" w:cs="Tahoma"/>
          <w:sz w:val="24"/>
          <w:szCs w:val="24"/>
        </w:rPr>
        <w:t xml:space="preserve"> h</w:t>
      </w:r>
      <w:r w:rsidR="00921D98" w:rsidRPr="00132AF8">
        <w:rPr>
          <w:rFonts w:ascii="Tahoma" w:hAnsi="Tahoma" w:cs="Tahoma"/>
          <w:sz w:val="24"/>
          <w:szCs w:val="24"/>
        </w:rPr>
        <w:t>ou</w:t>
      </w:r>
      <w:r w:rsidR="00934A63" w:rsidRPr="00132AF8">
        <w:rPr>
          <w:rFonts w:ascii="Tahoma" w:hAnsi="Tahoma" w:cs="Tahoma"/>
          <w:sz w:val="24"/>
          <w:szCs w:val="24"/>
        </w:rPr>
        <w:t>sehold recycling c</w:t>
      </w:r>
      <w:r w:rsidR="006E5014" w:rsidRPr="00132AF8">
        <w:rPr>
          <w:rFonts w:ascii="Tahoma" w:hAnsi="Tahoma" w:cs="Tahoma"/>
          <w:sz w:val="24"/>
          <w:szCs w:val="24"/>
        </w:rPr>
        <w:t xml:space="preserve">entre in April 2009 and this is now in operation. </w:t>
      </w:r>
      <w:r w:rsidR="0010006D" w:rsidRPr="00132AF8">
        <w:rPr>
          <w:rFonts w:ascii="Tahoma" w:hAnsi="Tahoma" w:cs="Tahoma"/>
          <w:sz w:val="24"/>
          <w:szCs w:val="24"/>
        </w:rPr>
        <w:t xml:space="preserve"> </w:t>
      </w:r>
      <w:proofErr w:type="gramStart"/>
      <w:r w:rsidR="0010006D" w:rsidRPr="00132AF8">
        <w:rPr>
          <w:rFonts w:ascii="Tahoma" w:hAnsi="Tahoma" w:cs="Tahoma"/>
          <w:sz w:val="24"/>
          <w:szCs w:val="24"/>
        </w:rPr>
        <w:t xml:space="preserve">Approximately </w:t>
      </w:r>
      <w:r w:rsidR="00C22CA8" w:rsidRPr="00132AF8">
        <w:rPr>
          <w:rFonts w:ascii="Tahoma" w:hAnsi="Tahoma" w:cs="Tahoma"/>
          <w:sz w:val="24"/>
          <w:szCs w:val="24"/>
        </w:rPr>
        <w:t>0.5</w:t>
      </w:r>
      <w:r w:rsidR="0010006D" w:rsidRPr="00132AF8">
        <w:rPr>
          <w:rFonts w:ascii="Tahoma" w:hAnsi="Tahoma" w:cs="Tahoma"/>
          <w:sz w:val="24"/>
          <w:szCs w:val="24"/>
        </w:rPr>
        <w:t xml:space="preserve"> hectare</w:t>
      </w:r>
      <w:r w:rsidR="0016290A" w:rsidRPr="00132AF8">
        <w:rPr>
          <w:rFonts w:ascii="Tahoma" w:hAnsi="Tahoma" w:cs="Tahoma"/>
          <w:sz w:val="24"/>
          <w:szCs w:val="24"/>
        </w:rPr>
        <w:t>s</w:t>
      </w:r>
      <w:r w:rsidR="0010006D" w:rsidRPr="00132AF8">
        <w:rPr>
          <w:rFonts w:ascii="Tahoma" w:hAnsi="Tahoma" w:cs="Tahoma"/>
          <w:sz w:val="24"/>
          <w:szCs w:val="24"/>
        </w:rPr>
        <w:t>, at the rear of the site,</w:t>
      </w:r>
      <w:r w:rsidR="00D26A31" w:rsidRPr="00132AF8">
        <w:rPr>
          <w:rFonts w:ascii="Tahoma" w:hAnsi="Tahoma" w:cs="Tahoma"/>
          <w:sz w:val="24"/>
          <w:szCs w:val="24"/>
        </w:rPr>
        <w:t xml:space="preserve"> remain</w:t>
      </w:r>
      <w:r w:rsidR="0010006D" w:rsidRPr="00132AF8">
        <w:rPr>
          <w:rFonts w:ascii="Tahoma" w:hAnsi="Tahoma" w:cs="Tahoma"/>
          <w:sz w:val="24"/>
          <w:szCs w:val="24"/>
        </w:rPr>
        <w:t>s to be developed.</w:t>
      </w:r>
      <w:proofErr w:type="gramEnd"/>
      <w:r w:rsidR="0010006D" w:rsidRPr="00132AF8">
        <w:rPr>
          <w:rFonts w:ascii="Tahoma" w:hAnsi="Tahoma" w:cs="Tahoma"/>
          <w:sz w:val="24"/>
          <w:szCs w:val="24"/>
        </w:rPr>
        <w:t xml:space="preserve"> A</w:t>
      </w:r>
      <w:r w:rsidR="00D26A31" w:rsidRPr="00132AF8">
        <w:rPr>
          <w:rFonts w:ascii="Tahoma" w:hAnsi="Tahoma" w:cs="Tahoma"/>
          <w:sz w:val="24"/>
          <w:szCs w:val="24"/>
        </w:rPr>
        <w:t>n outline planning application is currently under consideration for storage and dis</w:t>
      </w:r>
      <w:r w:rsidR="0010006D" w:rsidRPr="00132AF8">
        <w:rPr>
          <w:rFonts w:ascii="Tahoma" w:hAnsi="Tahoma" w:cs="Tahoma"/>
          <w:sz w:val="24"/>
          <w:szCs w:val="24"/>
        </w:rPr>
        <w:t>tribution units on the undeveloped</w:t>
      </w:r>
      <w:r w:rsidR="00D26A31" w:rsidRPr="00132AF8">
        <w:rPr>
          <w:rFonts w:ascii="Tahoma" w:hAnsi="Tahoma" w:cs="Tahoma"/>
          <w:sz w:val="24"/>
          <w:szCs w:val="24"/>
        </w:rPr>
        <w:t xml:space="preserve"> part of the zoning.</w:t>
      </w:r>
    </w:p>
    <w:p w:rsidR="00641EB1" w:rsidRPr="00132AF8" w:rsidRDefault="00641EB1" w:rsidP="005B7DCE">
      <w:pPr>
        <w:autoSpaceDE w:val="0"/>
        <w:autoSpaceDN w:val="0"/>
        <w:adjustRightInd w:val="0"/>
        <w:spacing w:after="0" w:line="240" w:lineRule="auto"/>
        <w:rPr>
          <w:rFonts w:ascii="Tahoma" w:hAnsi="Tahoma" w:cs="Tahoma"/>
          <w:sz w:val="24"/>
          <w:szCs w:val="24"/>
        </w:rPr>
      </w:pPr>
    </w:p>
    <w:p w:rsidR="007173C8" w:rsidRPr="00132AF8" w:rsidRDefault="007173C8" w:rsidP="005B7DCE">
      <w:pPr>
        <w:autoSpaceDE w:val="0"/>
        <w:autoSpaceDN w:val="0"/>
        <w:adjustRightInd w:val="0"/>
        <w:spacing w:after="0" w:line="240" w:lineRule="auto"/>
        <w:rPr>
          <w:rFonts w:ascii="Tahoma" w:hAnsi="Tahoma" w:cs="Tahoma"/>
          <w:b/>
          <w:sz w:val="24"/>
          <w:szCs w:val="24"/>
        </w:rPr>
      </w:pPr>
      <w:proofErr w:type="spellStart"/>
      <w:r w:rsidRPr="00132AF8">
        <w:rPr>
          <w:rFonts w:ascii="Tahoma" w:hAnsi="Tahoma" w:cs="Tahoma"/>
          <w:b/>
          <w:sz w:val="24"/>
          <w:szCs w:val="24"/>
        </w:rPr>
        <w:t>Kilkeel</w:t>
      </w:r>
      <w:proofErr w:type="spellEnd"/>
    </w:p>
    <w:p w:rsidR="008C6318" w:rsidRPr="00132AF8" w:rsidRDefault="008C6318" w:rsidP="005B7DCE">
      <w:pPr>
        <w:autoSpaceDE w:val="0"/>
        <w:autoSpaceDN w:val="0"/>
        <w:adjustRightInd w:val="0"/>
        <w:spacing w:after="0" w:line="240" w:lineRule="auto"/>
        <w:rPr>
          <w:rFonts w:ascii="Tahoma" w:hAnsi="Tahoma" w:cs="Tahoma"/>
          <w:b/>
          <w:sz w:val="24"/>
          <w:szCs w:val="24"/>
        </w:rPr>
      </w:pPr>
    </w:p>
    <w:p w:rsidR="004A2A73"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.18</w:t>
      </w:r>
      <w:r w:rsidR="00D27EE3" w:rsidRPr="00132AF8">
        <w:rPr>
          <w:rFonts w:ascii="Tahoma" w:hAnsi="Tahoma" w:cs="Tahoma"/>
          <w:sz w:val="24"/>
          <w:szCs w:val="24"/>
        </w:rPr>
        <w:t xml:space="preserve"> </w:t>
      </w:r>
      <w:r w:rsidR="003F2672">
        <w:rPr>
          <w:rFonts w:ascii="Tahoma" w:hAnsi="Tahoma" w:cs="Tahoma"/>
          <w:sz w:val="24"/>
          <w:szCs w:val="24"/>
        </w:rPr>
        <w:tab/>
      </w:r>
      <w:r w:rsidR="008C6318" w:rsidRPr="00132AF8">
        <w:rPr>
          <w:rFonts w:ascii="Tahoma" w:hAnsi="Tahoma" w:cs="Tahoma"/>
          <w:sz w:val="24"/>
          <w:szCs w:val="24"/>
        </w:rPr>
        <w:t>Moor R</w:t>
      </w:r>
      <w:r w:rsidR="00BC692C" w:rsidRPr="00132AF8">
        <w:rPr>
          <w:rFonts w:ascii="Tahoma" w:hAnsi="Tahoma" w:cs="Tahoma"/>
          <w:sz w:val="24"/>
          <w:szCs w:val="24"/>
        </w:rPr>
        <w:t>oad, the harbour (KL19) 18.38 hectares</w:t>
      </w:r>
      <w:r w:rsidR="008B6360" w:rsidRPr="00132AF8">
        <w:rPr>
          <w:rFonts w:ascii="Tahoma" w:hAnsi="Tahoma" w:cs="Tahoma"/>
          <w:sz w:val="24"/>
          <w:szCs w:val="24"/>
        </w:rPr>
        <w:t xml:space="preserve"> are zoned for economic development</w:t>
      </w:r>
      <w:r w:rsidR="00D27EE3" w:rsidRPr="00132AF8">
        <w:rPr>
          <w:rFonts w:ascii="Tahoma" w:hAnsi="Tahoma" w:cs="Tahoma"/>
          <w:sz w:val="24"/>
          <w:szCs w:val="24"/>
        </w:rPr>
        <w:t xml:space="preserve">. </w:t>
      </w:r>
      <w:r w:rsidR="004A2A73" w:rsidRPr="00132AF8">
        <w:rPr>
          <w:rFonts w:ascii="Tahoma" w:hAnsi="Tahoma" w:cs="Tahoma"/>
          <w:sz w:val="24"/>
          <w:szCs w:val="24"/>
        </w:rPr>
        <w:t xml:space="preserve">Within this zoning a number of dwellings have been constructed along the frontage of Moor Road. A number of industrial applications have </w:t>
      </w:r>
      <w:r w:rsidR="001A576F" w:rsidRPr="00132AF8">
        <w:rPr>
          <w:rFonts w:ascii="Tahoma" w:hAnsi="Tahoma" w:cs="Tahoma"/>
          <w:sz w:val="24"/>
          <w:szCs w:val="24"/>
        </w:rPr>
        <w:t>also been approved but never</w:t>
      </w:r>
      <w:r w:rsidR="004A2A73" w:rsidRPr="00132AF8">
        <w:rPr>
          <w:rFonts w:ascii="Tahoma" w:hAnsi="Tahoma" w:cs="Tahoma"/>
          <w:sz w:val="24"/>
          <w:szCs w:val="24"/>
        </w:rPr>
        <w:t xml:space="preserve"> implemented, these have now expired. Currently 13.92 hectares </w:t>
      </w:r>
      <w:r w:rsidR="0049163F" w:rsidRPr="00132AF8">
        <w:rPr>
          <w:rFonts w:ascii="Tahoma" w:hAnsi="Tahoma" w:cs="Tahoma"/>
          <w:sz w:val="24"/>
          <w:szCs w:val="24"/>
        </w:rPr>
        <w:t xml:space="preserve">of land </w:t>
      </w:r>
      <w:r w:rsidR="004A2A73" w:rsidRPr="00132AF8">
        <w:rPr>
          <w:rFonts w:ascii="Tahoma" w:hAnsi="Tahoma" w:cs="Tahoma"/>
          <w:sz w:val="24"/>
          <w:szCs w:val="24"/>
        </w:rPr>
        <w:t>remain</w:t>
      </w:r>
      <w:r w:rsidR="0049163F" w:rsidRPr="00132AF8">
        <w:rPr>
          <w:rFonts w:ascii="Tahoma" w:hAnsi="Tahoma" w:cs="Tahoma"/>
          <w:sz w:val="24"/>
          <w:szCs w:val="24"/>
        </w:rPr>
        <w:t>s</w:t>
      </w:r>
      <w:r w:rsidR="004A2A73" w:rsidRPr="00132AF8">
        <w:rPr>
          <w:rFonts w:ascii="Tahoma" w:hAnsi="Tahoma" w:cs="Tahoma"/>
          <w:sz w:val="24"/>
          <w:szCs w:val="24"/>
        </w:rPr>
        <w:t xml:space="preserve"> to be developed.</w:t>
      </w:r>
    </w:p>
    <w:p w:rsidR="00FC76CD" w:rsidRPr="00132AF8" w:rsidRDefault="00FC76CD" w:rsidP="00FC76CD">
      <w:pPr>
        <w:autoSpaceDE w:val="0"/>
        <w:autoSpaceDN w:val="0"/>
        <w:adjustRightInd w:val="0"/>
        <w:spacing w:after="0" w:line="240" w:lineRule="auto"/>
        <w:jc w:val="both"/>
        <w:rPr>
          <w:rFonts w:ascii="Tahoma" w:hAnsi="Tahoma" w:cs="Tahoma"/>
          <w:sz w:val="24"/>
          <w:szCs w:val="24"/>
        </w:rPr>
      </w:pPr>
    </w:p>
    <w:p w:rsidR="008C6318" w:rsidRPr="00132AF8"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.19</w:t>
      </w:r>
      <w:r w:rsidR="001120ED" w:rsidRPr="00132AF8">
        <w:rPr>
          <w:rFonts w:ascii="Tahoma" w:hAnsi="Tahoma" w:cs="Tahoma"/>
          <w:sz w:val="24"/>
          <w:szCs w:val="24"/>
        </w:rPr>
        <w:t xml:space="preserve"> </w:t>
      </w:r>
      <w:r w:rsidR="003F2672">
        <w:rPr>
          <w:rFonts w:ascii="Tahoma" w:hAnsi="Tahoma" w:cs="Tahoma"/>
          <w:sz w:val="24"/>
          <w:szCs w:val="24"/>
        </w:rPr>
        <w:tab/>
      </w:r>
      <w:r w:rsidR="0049163F" w:rsidRPr="00132AF8">
        <w:rPr>
          <w:rFonts w:ascii="Tahoma" w:hAnsi="Tahoma" w:cs="Tahoma"/>
          <w:sz w:val="24"/>
          <w:szCs w:val="24"/>
        </w:rPr>
        <w:t>At Newcastle Road (KL 20) 2.07 hectares are</w:t>
      </w:r>
      <w:r w:rsidR="008A712A" w:rsidRPr="00132AF8">
        <w:rPr>
          <w:rFonts w:ascii="Tahoma" w:hAnsi="Tahoma" w:cs="Tahoma"/>
          <w:sz w:val="24"/>
          <w:szCs w:val="24"/>
        </w:rPr>
        <w:t xml:space="preserve"> zoned and </w:t>
      </w:r>
      <w:r w:rsidR="00CE39C9" w:rsidRPr="00132AF8">
        <w:rPr>
          <w:rFonts w:ascii="Tahoma" w:hAnsi="Tahoma" w:cs="Tahoma"/>
          <w:sz w:val="24"/>
          <w:szCs w:val="24"/>
        </w:rPr>
        <w:t>2 hectares</w:t>
      </w:r>
      <w:r w:rsidR="001A576F" w:rsidRPr="00132AF8">
        <w:rPr>
          <w:rFonts w:ascii="Tahoma" w:hAnsi="Tahoma" w:cs="Tahoma"/>
          <w:sz w:val="24"/>
          <w:szCs w:val="24"/>
        </w:rPr>
        <w:t xml:space="preserve"> of this zoning </w:t>
      </w:r>
      <w:r w:rsidR="008A712A" w:rsidRPr="00132AF8">
        <w:rPr>
          <w:rFonts w:ascii="Tahoma" w:hAnsi="Tahoma" w:cs="Tahoma"/>
          <w:sz w:val="24"/>
          <w:szCs w:val="24"/>
        </w:rPr>
        <w:t>remains undeveloped.</w:t>
      </w:r>
      <w:r w:rsidR="008A712A" w:rsidRPr="00132AF8">
        <w:rPr>
          <w:rFonts w:ascii="Tahoma" w:hAnsi="Tahoma" w:cs="Tahoma"/>
        </w:rPr>
        <w:t xml:space="preserve"> </w:t>
      </w:r>
      <w:r w:rsidR="008C6318" w:rsidRPr="00132AF8">
        <w:rPr>
          <w:rFonts w:ascii="Tahoma" w:hAnsi="Tahoma" w:cs="Tahoma"/>
          <w:sz w:val="24"/>
          <w:szCs w:val="24"/>
        </w:rPr>
        <w:t>Moor Road/New</w:t>
      </w:r>
      <w:r w:rsidR="00D27EE3" w:rsidRPr="00132AF8">
        <w:rPr>
          <w:rFonts w:ascii="Tahoma" w:hAnsi="Tahoma" w:cs="Tahoma"/>
          <w:sz w:val="24"/>
          <w:szCs w:val="24"/>
        </w:rPr>
        <w:t>c</w:t>
      </w:r>
      <w:r w:rsidR="001A576F" w:rsidRPr="00132AF8">
        <w:rPr>
          <w:rFonts w:ascii="Tahoma" w:hAnsi="Tahoma" w:cs="Tahoma"/>
          <w:sz w:val="24"/>
          <w:szCs w:val="24"/>
        </w:rPr>
        <w:t xml:space="preserve">astle Road West (KL21) </w:t>
      </w:r>
      <w:r w:rsidR="0049163F" w:rsidRPr="00132AF8">
        <w:rPr>
          <w:rFonts w:ascii="Tahoma" w:hAnsi="Tahoma" w:cs="Tahoma"/>
          <w:sz w:val="24"/>
          <w:szCs w:val="24"/>
        </w:rPr>
        <w:t xml:space="preserve">has </w:t>
      </w:r>
      <w:r w:rsidR="008B6360" w:rsidRPr="00132AF8">
        <w:rPr>
          <w:rFonts w:ascii="Tahoma" w:hAnsi="Tahoma" w:cs="Tahoma"/>
          <w:sz w:val="24"/>
          <w:szCs w:val="24"/>
        </w:rPr>
        <w:t>0.58 hectares</w:t>
      </w:r>
      <w:r w:rsidR="001A576F" w:rsidRPr="00132AF8">
        <w:rPr>
          <w:rFonts w:ascii="Tahoma" w:hAnsi="Tahoma" w:cs="Tahoma"/>
          <w:sz w:val="24"/>
          <w:szCs w:val="24"/>
        </w:rPr>
        <w:t xml:space="preserve"> zoned and 0.42</w:t>
      </w:r>
      <w:r w:rsidR="0016290A" w:rsidRPr="00132AF8">
        <w:rPr>
          <w:rFonts w:ascii="Tahoma" w:hAnsi="Tahoma" w:cs="Tahoma"/>
          <w:sz w:val="24"/>
          <w:szCs w:val="24"/>
        </w:rPr>
        <w:t xml:space="preserve"> hectares</w:t>
      </w:r>
      <w:r w:rsidR="001A576F" w:rsidRPr="00132AF8">
        <w:rPr>
          <w:rFonts w:ascii="Tahoma" w:hAnsi="Tahoma" w:cs="Tahoma"/>
          <w:sz w:val="24"/>
          <w:szCs w:val="24"/>
        </w:rPr>
        <w:t xml:space="preserve"> remains undeveloped.</w:t>
      </w:r>
      <w:r w:rsidR="00867BC0" w:rsidRPr="00132AF8">
        <w:rPr>
          <w:rFonts w:ascii="Tahoma" w:hAnsi="Tahoma" w:cs="Tahoma"/>
          <w:sz w:val="24"/>
          <w:szCs w:val="24"/>
        </w:rPr>
        <w:t xml:space="preserve"> </w:t>
      </w:r>
      <w:r w:rsidR="008C6318" w:rsidRPr="00132AF8">
        <w:rPr>
          <w:rFonts w:ascii="Tahoma" w:hAnsi="Tahoma" w:cs="Tahoma"/>
          <w:sz w:val="24"/>
          <w:szCs w:val="24"/>
        </w:rPr>
        <w:t>Moor Road/Newcastle Road East (</w:t>
      </w:r>
      <w:r w:rsidR="008A712A" w:rsidRPr="00132AF8">
        <w:rPr>
          <w:rFonts w:ascii="Tahoma" w:hAnsi="Tahoma" w:cs="Tahoma"/>
          <w:sz w:val="24"/>
          <w:szCs w:val="24"/>
        </w:rPr>
        <w:t>KL22) 3.51</w:t>
      </w:r>
      <w:r w:rsidR="0049163F" w:rsidRPr="00132AF8">
        <w:rPr>
          <w:rFonts w:ascii="Tahoma" w:hAnsi="Tahoma" w:cs="Tahoma"/>
          <w:sz w:val="24"/>
          <w:szCs w:val="24"/>
        </w:rPr>
        <w:t xml:space="preserve"> hectares are</w:t>
      </w:r>
      <w:r w:rsidR="008A712A" w:rsidRPr="00132AF8">
        <w:rPr>
          <w:rFonts w:ascii="Tahoma" w:hAnsi="Tahoma" w:cs="Tahoma"/>
          <w:sz w:val="24"/>
          <w:szCs w:val="24"/>
        </w:rPr>
        <w:t xml:space="preserve"> zo</w:t>
      </w:r>
      <w:r w:rsidR="008B6360" w:rsidRPr="00132AF8">
        <w:rPr>
          <w:rFonts w:ascii="Tahoma" w:hAnsi="Tahoma" w:cs="Tahoma"/>
          <w:sz w:val="24"/>
          <w:szCs w:val="24"/>
        </w:rPr>
        <w:t>ned and to date none of this has been developed</w:t>
      </w:r>
      <w:r w:rsidR="008A712A" w:rsidRPr="00132AF8">
        <w:rPr>
          <w:rFonts w:ascii="Tahoma" w:hAnsi="Tahoma" w:cs="Tahoma"/>
          <w:sz w:val="24"/>
          <w:szCs w:val="24"/>
        </w:rPr>
        <w:t>.</w:t>
      </w:r>
      <w:r w:rsidR="001A576F" w:rsidRPr="00132AF8">
        <w:rPr>
          <w:rFonts w:ascii="Tahoma" w:hAnsi="Tahoma" w:cs="Tahoma"/>
        </w:rPr>
        <w:t xml:space="preserve"> </w:t>
      </w:r>
      <w:r w:rsidR="001A576F" w:rsidRPr="00132AF8">
        <w:rPr>
          <w:rFonts w:ascii="Tahoma" w:hAnsi="Tahoma" w:cs="Tahoma"/>
          <w:sz w:val="24"/>
          <w:szCs w:val="24"/>
        </w:rPr>
        <w:t xml:space="preserve">There are </w:t>
      </w:r>
      <w:proofErr w:type="gramStart"/>
      <w:r w:rsidR="001A576F" w:rsidRPr="00132AF8">
        <w:rPr>
          <w:rFonts w:ascii="Tahoma" w:hAnsi="Tahoma" w:cs="Tahoma"/>
          <w:sz w:val="24"/>
          <w:szCs w:val="24"/>
        </w:rPr>
        <w:t>no extant planning permissions nor</w:t>
      </w:r>
      <w:proofErr w:type="gramEnd"/>
      <w:r w:rsidR="001A576F" w:rsidRPr="00132AF8">
        <w:rPr>
          <w:rFonts w:ascii="Tahoma" w:hAnsi="Tahoma" w:cs="Tahoma"/>
          <w:sz w:val="24"/>
          <w:szCs w:val="24"/>
        </w:rPr>
        <w:t xml:space="preserve"> any application</w:t>
      </w:r>
      <w:r w:rsidR="0049163F" w:rsidRPr="00132AF8">
        <w:rPr>
          <w:rFonts w:ascii="Tahoma" w:hAnsi="Tahoma" w:cs="Tahoma"/>
          <w:sz w:val="24"/>
          <w:szCs w:val="24"/>
        </w:rPr>
        <w:t xml:space="preserve">s currently under consideration on </w:t>
      </w:r>
      <w:r w:rsidR="008B6360" w:rsidRPr="00132AF8">
        <w:rPr>
          <w:rFonts w:ascii="Tahoma" w:hAnsi="Tahoma" w:cs="Tahoma"/>
          <w:sz w:val="24"/>
          <w:szCs w:val="24"/>
        </w:rPr>
        <w:t xml:space="preserve">any of these three </w:t>
      </w:r>
      <w:r w:rsidR="0049163F" w:rsidRPr="00132AF8">
        <w:rPr>
          <w:rFonts w:ascii="Tahoma" w:hAnsi="Tahoma" w:cs="Tahoma"/>
          <w:sz w:val="24"/>
          <w:szCs w:val="24"/>
        </w:rPr>
        <w:t>zoning</w:t>
      </w:r>
      <w:r w:rsidR="008B6360" w:rsidRPr="00132AF8">
        <w:rPr>
          <w:rFonts w:ascii="Tahoma" w:hAnsi="Tahoma" w:cs="Tahoma"/>
          <w:sz w:val="24"/>
          <w:szCs w:val="24"/>
        </w:rPr>
        <w:t>s</w:t>
      </w:r>
      <w:r w:rsidR="0049163F" w:rsidRPr="00132AF8">
        <w:rPr>
          <w:rFonts w:ascii="Tahoma" w:hAnsi="Tahoma" w:cs="Tahoma"/>
          <w:sz w:val="24"/>
          <w:szCs w:val="24"/>
        </w:rPr>
        <w:t>.</w:t>
      </w:r>
    </w:p>
    <w:p w:rsidR="001120ED" w:rsidRPr="00132AF8" w:rsidRDefault="001120ED" w:rsidP="005B7DCE">
      <w:pPr>
        <w:autoSpaceDE w:val="0"/>
        <w:autoSpaceDN w:val="0"/>
        <w:adjustRightInd w:val="0"/>
        <w:spacing w:after="0" w:line="240" w:lineRule="auto"/>
        <w:rPr>
          <w:rFonts w:ascii="Tahoma" w:hAnsi="Tahoma" w:cs="Tahoma"/>
          <w:sz w:val="24"/>
          <w:szCs w:val="24"/>
        </w:rPr>
      </w:pPr>
    </w:p>
    <w:p w:rsidR="007173C8" w:rsidRPr="00132AF8" w:rsidRDefault="007173C8" w:rsidP="005B7DCE">
      <w:pPr>
        <w:autoSpaceDE w:val="0"/>
        <w:autoSpaceDN w:val="0"/>
        <w:adjustRightInd w:val="0"/>
        <w:spacing w:after="0" w:line="240" w:lineRule="auto"/>
        <w:rPr>
          <w:rFonts w:ascii="Tahoma" w:hAnsi="Tahoma" w:cs="Tahoma"/>
          <w:b/>
          <w:sz w:val="24"/>
          <w:szCs w:val="24"/>
        </w:rPr>
      </w:pPr>
      <w:proofErr w:type="spellStart"/>
      <w:r w:rsidRPr="00132AF8">
        <w:rPr>
          <w:rFonts w:ascii="Tahoma" w:hAnsi="Tahoma" w:cs="Tahoma"/>
          <w:b/>
          <w:sz w:val="24"/>
          <w:szCs w:val="24"/>
        </w:rPr>
        <w:t>Newtownhamilton</w:t>
      </w:r>
      <w:proofErr w:type="spellEnd"/>
    </w:p>
    <w:p w:rsidR="00285190" w:rsidRPr="00132AF8" w:rsidRDefault="00285190" w:rsidP="005B7DCE">
      <w:pPr>
        <w:autoSpaceDE w:val="0"/>
        <w:autoSpaceDN w:val="0"/>
        <w:adjustRightInd w:val="0"/>
        <w:spacing w:after="0" w:line="240" w:lineRule="auto"/>
        <w:rPr>
          <w:rFonts w:ascii="Tahoma" w:hAnsi="Tahoma" w:cs="Tahoma"/>
          <w:b/>
          <w:sz w:val="24"/>
          <w:szCs w:val="24"/>
        </w:rPr>
      </w:pPr>
    </w:p>
    <w:p w:rsidR="007173C8"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.20</w:t>
      </w:r>
      <w:r w:rsidR="00D27EE3" w:rsidRPr="00132AF8">
        <w:rPr>
          <w:rFonts w:ascii="Tahoma" w:hAnsi="Tahoma" w:cs="Tahoma"/>
          <w:sz w:val="24"/>
          <w:szCs w:val="24"/>
        </w:rPr>
        <w:t xml:space="preserve"> </w:t>
      </w:r>
      <w:r w:rsidR="003F2672">
        <w:rPr>
          <w:rFonts w:ascii="Tahoma" w:hAnsi="Tahoma" w:cs="Tahoma"/>
          <w:sz w:val="24"/>
          <w:szCs w:val="24"/>
        </w:rPr>
        <w:tab/>
      </w:r>
      <w:r w:rsidR="00D27EE3" w:rsidRPr="00132AF8">
        <w:rPr>
          <w:rFonts w:ascii="Tahoma" w:hAnsi="Tahoma" w:cs="Tahoma"/>
          <w:sz w:val="24"/>
          <w:szCs w:val="24"/>
        </w:rPr>
        <w:t>A site</w:t>
      </w:r>
      <w:r w:rsidR="00E17D57" w:rsidRPr="00132AF8">
        <w:rPr>
          <w:rFonts w:ascii="Tahoma" w:hAnsi="Tahoma" w:cs="Tahoma"/>
          <w:sz w:val="24"/>
          <w:szCs w:val="24"/>
        </w:rPr>
        <w:t xml:space="preserve"> measuring</w:t>
      </w:r>
      <w:r w:rsidR="00921D98" w:rsidRPr="00132AF8">
        <w:rPr>
          <w:rFonts w:ascii="Tahoma" w:hAnsi="Tahoma" w:cs="Tahoma"/>
          <w:sz w:val="24"/>
          <w:szCs w:val="24"/>
        </w:rPr>
        <w:t xml:space="preserve"> 0.46 hectares north of the Newry Ro</w:t>
      </w:r>
      <w:r w:rsidR="00934A63" w:rsidRPr="00132AF8">
        <w:rPr>
          <w:rFonts w:ascii="Tahoma" w:hAnsi="Tahoma" w:cs="Tahoma"/>
          <w:sz w:val="24"/>
          <w:szCs w:val="24"/>
        </w:rPr>
        <w:t xml:space="preserve">ad (NN06) is </w:t>
      </w:r>
      <w:r w:rsidR="00921D98" w:rsidRPr="00132AF8">
        <w:rPr>
          <w:rFonts w:ascii="Tahoma" w:hAnsi="Tahoma" w:cs="Tahoma"/>
          <w:sz w:val="24"/>
          <w:szCs w:val="24"/>
        </w:rPr>
        <w:t xml:space="preserve">zoned for economic development. Currently the site remains </w:t>
      </w:r>
      <w:proofErr w:type="gramStart"/>
      <w:r w:rsidR="00921D98" w:rsidRPr="00132AF8">
        <w:rPr>
          <w:rFonts w:ascii="Tahoma" w:hAnsi="Tahoma" w:cs="Tahoma"/>
          <w:sz w:val="24"/>
          <w:szCs w:val="24"/>
        </w:rPr>
        <w:t>undeveloped,</w:t>
      </w:r>
      <w:proofErr w:type="gramEnd"/>
      <w:r w:rsidR="00921D98" w:rsidRPr="00132AF8">
        <w:rPr>
          <w:rFonts w:ascii="Tahoma" w:hAnsi="Tahoma" w:cs="Tahoma"/>
          <w:sz w:val="24"/>
          <w:szCs w:val="24"/>
        </w:rPr>
        <w:t xml:space="preserve"> there are no extant planning permissions nor any applications currently under consideration.</w:t>
      </w:r>
    </w:p>
    <w:p w:rsidR="00132AF8" w:rsidRDefault="00132AF8" w:rsidP="00FC76CD">
      <w:pPr>
        <w:autoSpaceDE w:val="0"/>
        <w:autoSpaceDN w:val="0"/>
        <w:adjustRightInd w:val="0"/>
        <w:spacing w:after="0" w:line="240" w:lineRule="auto"/>
        <w:jc w:val="both"/>
        <w:rPr>
          <w:rFonts w:ascii="Tahoma" w:hAnsi="Tahoma" w:cs="Tahoma"/>
          <w:sz w:val="24"/>
          <w:szCs w:val="24"/>
        </w:rPr>
      </w:pPr>
    </w:p>
    <w:p w:rsidR="00285190" w:rsidRPr="00132AF8" w:rsidRDefault="00285190" w:rsidP="00FC76CD">
      <w:pPr>
        <w:autoSpaceDE w:val="0"/>
        <w:autoSpaceDN w:val="0"/>
        <w:adjustRightInd w:val="0"/>
        <w:spacing w:after="0" w:line="240" w:lineRule="auto"/>
        <w:jc w:val="both"/>
        <w:rPr>
          <w:rFonts w:ascii="Tahoma" w:hAnsi="Tahoma" w:cs="Tahoma"/>
          <w:b/>
          <w:sz w:val="24"/>
          <w:szCs w:val="24"/>
        </w:rPr>
      </w:pPr>
      <w:proofErr w:type="spellStart"/>
      <w:r w:rsidRPr="00132AF8">
        <w:rPr>
          <w:rFonts w:ascii="Tahoma" w:hAnsi="Tahoma" w:cs="Tahoma"/>
          <w:b/>
          <w:sz w:val="24"/>
          <w:szCs w:val="24"/>
        </w:rPr>
        <w:t>Warrenpoint</w:t>
      </w:r>
      <w:proofErr w:type="spellEnd"/>
      <w:r w:rsidRPr="00132AF8">
        <w:rPr>
          <w:rFonts w:ascii="Tahoma" w:hAnsi="Tahoma" w:cs="Tahoma"/>
          <w:b/>
          <w:sz w:val="24"/>
          <w:szCs w:val="24"/>
        </w:rPr>
        <w:t>/</w:t>
      </w:r>
      <w:proofErr w:type="spellStart"/>
      <w:r w:rsidRPr="00132AF8">
        <w:rPr>
          <w:rFonts w:ascii="Tahoma" w:hAnsi="Tahoma" w:cs="Tahoma"/>
          <w:b/>
          <w:sz w:val="24"/>
          <w:szCs w:val="24"/>
        </w:rPr>
        <w:t>Burren</w:t>
      </w:r>
      <w:proofErr w:type="spellEnd"/>
    </w:p>
    <w:p w:rsidR="00285190" w:rsidRPr="00132AF8" w:rsidRDefault="00285190" w:rsidP="00FC76CD">
      <w:pPr>
        <w:autoSpaceDE w:val="0"/>
        <w:autoSpaceDN w:val="0"/>
        <w:adjustRightInd w:val="0"/>
        <w:spacing w:after="0" w:line="240" w:lineRule="auto"/>
        <w:jc w:val="both"/>
        <w:rPr>
          <w:rFonts w:ascii="Tahoma" w:hAnsi="Tahoma" w:cs="Tahoma"/>
          <w:b/>
          <w:sz w:val="24"/>
          <w:szCs w:val="24"/>
        </w:rPr>
      </w:pPr>
    </w:p>
    <w:p w:rsidR="007173C8" w:rsidRPr="00132AF8"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.21</w:t>
      </w:r>
      <w:r w:rsidR="00F14651" w:rsidRPr="00132AF8">
        <w:rPr>
          <w:rFonts w:ascii="Tahoma" w:hAnsi="Tahoma" w:cs="Tahoma"/>
          <w:sz w:val="24"/>
          <w:szCs w:val="24"/>
        </w:rPr>
        <w:t xml:space="preserve"> </w:t>
      </w:r>
      <w:r w:rsidR="003F2672">
        <w:rPr>
          <w:rFonts w:ascii="Tahoma" w:hAnsi="Tahoma" w:cs="Tahoma"/>
          <w:sz w:val="24"/>
          <w:szCs w:val="24"/>
        </w:rPr>
        <w:tab/>
      </w:r>
      <w:r w:rsidR="001A576F" w:rsidRPr="00132AF8">
        <w:rPr>
          <w:rFonts w:ascii="Tahoma" w:hAnsi="Tahoma" w:cs="Tahoma"/>
          <w:sz w:val="24"/>
          <w:szCs w:val="24"/>
        </w:rPr>
        <w:t>In accordance with its role as a major gateway and local employment/service centre, 16.94 hectares of land are zoned f</w:t>
      </w:r>
      <w:r w:rsidR="00D27EE3" w:rsidRPr="00132AF8">
        <w:rPr>
          <w:rFonts w:ascii="Tahoma" w:hAnsi="Tahoma" w:cs="Tahoma"/>
          <w:sz w:val="24"/>
          <w:szCs w:val="24"/>
        </w:rPr>
        <w:t xml:space="preserve">or economic development </w:t>
      </w:r>
      <w:r w:rsidR="001A576F" w:rsidRPr="00132AF8">
        <w:rPr>
          <w:rFonts w:ascii="Tahoma" w:hAnsi="Tahoma" w:cs="Tahoma"/>
          <w:sz w:val="24"/>
          <w:szCs w:val="24"/>
        </w:rPr>
        <w:t xml:space="preserve">in </w:t>
      </w:r>
      <w:proofErr w:type="spellStart"/>
      <w:r w:rsidR="001A576F" w:rsidRPr="00132AF8">
        <w:rPr>
          <w:rFonts w:ascii="Tahoma" w:hAnsi="Tahoma" w:cs="Tahoma"/>
          <w:sz w:val="24"/>
          <w:szCs w:val="24"/>
        </w:rPr>
        <w:t>Warrenpoint</w:t>
      </w:r>
      <w:proofErr w:type="spellEnd"/>
      <w:r w:rsidR="001A576F" w:rsidRPr="00132AF8">
        <w:rPr>
          <w:rFonts w:ascii="Tahoma" w:hAnsi="Tahoma" w:cs="Tahoma"/>
          <w:sz w:val="24"/>
          <w:szCs w:val="24"/>
        </w:rPr>
        <w:t>/</w:t>
      </w:r>
      <w:proofErr w:type="spellStart"/>
      <w:r w:rsidR="001A576F" w:rsidRPr="00132AF8">
        <w:rPr>
          <w:rFonts w:ascii="Tahoma" w:hAnsi="Tahoma" w:cs="Tahoma"/>
          <w:sz w:val="24"/>
          <w:szCs w:val="24"/>
        </w:rPr>
        <w:t>Burren</w:t>
      </w:r>
      <w:proofErr w:type="spellEnd"/>
      <w:r w:rsidR="001A576F" w:rsidRPr="00132AF8">
        <w:rPr>
          <w:rFonts w:ascii="Tahoma" w:hAnsi="Tahoma" w:cs="Tahoma"/>
          <w:sz w:val="24"/>
          <w:szCs w:val="24"/>
        </w:rPr>
        <w:t>. These</w:t>
      </w:r>
      <w:r w:rsidR="00D27EE3" w:rsidRPr="00132AF8">
        <w:rPr>
          <w:rFonts w:ascii="Tahoma" w:hAnsi="Tahoma" w:cs="Tahoma"/>
          <w:sz w:val="24"/>
          <w:szCs w:val="24"/>
        </w:rPr>
        <w:t xml:space="preserve"> </w:t>
      </w:r>
      <w:r w:rsidR="00646CD4" w:rsidRPr="00132AF8">
        <w:rPr>
          <w:rFonts w:ascii="Tahoma" w:hAnsi="Tahoma" w:cs="Tahoma"/>
          <w:sz w:val="24"/>
          <w:szCs w:val="24"/>
        </w:rPr>
        <w:t xml:space="preserve">are located at </w:t>
      </w:r>
      <w:proofErr w:type="spellStart"/>
      <w:r w:rsidR="00646CD4" w:rsidRPr="00132AF8">
        <w:rPr>
          <w:rFonts w:ascii="Tahoma" w:hAnsi="Tahoma" w:cs="Tahoma"/>
          <w:sz w:val="24"/>
          <w:szCs w:val="24"/>
        </w:rPr>
        <w:t>W</w:t>
      </w:r>
      <w:r w:rsidR="00D27EE3" w:rsidRPr="00132AF8">
        <w:rPr>
          <w:rFonts w:ascii="Tahoma" w:hAnsi="Tahoma" w:cs="Tahoma"/>
          <w:sz w:val="24"/>
          <w:szCs w:val="24"/>
        </w:rPr>
        <w:t>arrenpoint</w:t>
      </w:r>
      <w:proofErr w:type="spellEnd"/>
      <w:r w:rsidR="00D27EE3" w:rsidRPr="00132AF8">
        <w:rPr>
          <w:rFonts w:ascii="Tahoma" w:hAnsi="Tahoma" w:cs="Tahoma"/>
          <w:sz w:val="24"/>
          <w:szCs w:val="24"/>
        </w:rPr>
        <w:t xml:space="preserve"> Industrial Estate, </w:t>
      </w:r>
      <w:r w:rsidR="00646CD4" w:rsidRPr="00132AF8">
        <w:rPr>
          <w:rFonts w:ascii="Tahoma" w:hAnsi="Tahoma" w:cs="Tahoma"/>
          <w:sz w:val="24"/>
          <w:szCs w:val="24"/>
        </w:rPr>
        <w:t xml:space="preserve">Newry Road and at two industrial estates in </w:t>
      </w:r>
      <w:proofErr w:type="spellStart"/>
      <w:r w:rsidR="00646CD4" w:rsidRPr="00132AF8">
        <w:rPr>
          <w:rFonts w:ascii="Tahoma" w:hAnsi="Tahoma" w:cs="Tahoma"/>
          <w:sz w:val="24"/>
          <w:szCs w:val="24"/>
        </w:rPr>
        <w:t>Burren</w:t>
      </w:r>
      <w:proofErr w:type="spellEnd"/>
      <w:r w:rsidR="00646CD4" w:rsidRPr="00132AF8">
        <w:rPr>
          <w:rFonts w:ascii="Tahoma" w:hAnsi="Tahoma" w:cs="Tahoma"/>
          <w:sz w:val="24"/>
          <w:szCs w:val="24"/>
        </w:rPr>
        <w:t>.</w:t>
      </w:r>
    </w:p>
    <w:p w:rsidR="001A576F" w:rsidRPr="00132AF8" w:rsidRDefault="001A576F" w:rsidP="00FC76CD">
      <w:pPr>
        <w:autoSpaceDE w:val="0"/>
        <w:autoSpaceDN w:val="0"/>
        <w:adjustRightInd w:val="0"/>
        <w:spacing w:after="0" w:line="240" w:lineRule="auto"/>
        <w:jc w:val="both"/>
        <w:rPr>
          <w:rFonts w:ascii="Tahoma" w:hAnsi="Tahoma" w:cs="Tahoma"/>
          <w:sz w:val="24"/>
          <w:szCs w:val="24"/>
        </w:rPr>
      </w:pPr>
    </w:p>
    <w:p w:rsidR="00C7122D" w:rsidRPr="00132AF8" w:rsidRDefault="00313304" w:rsidP="00FC76CD">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.22</w:t>
      </w:r>
      <w:r w:rsidR="001120ED" w:rsidRPr="00132AF8">
        <w:rPr>
          <w:rFonts w:ascii="Tahoma" w:hAnsi="Tahoma" w:cs="Tahoma"/>
          <w:sz w:val="24"/>
          <w:szCs w:val="24"/>
        </w:rPr>
        <w:t xml:space="preserve"> </w:t>
      </w:r>
      <w:r w:rsidR="003F2672">
        <w:rPr>
          <w:rFonts w:ascii="Tahoma" w:hAnsi="Tahoma" w:cs="Tahoma"/>
          <w:sz w:val="24"/>
          <w:szCs w:val="24"/>
        </w:rPr>
        <w:tab/>
      </w:r>
      <w:r w:rsidR="001A576F" w:rsidRPr="00132AF8">
        <w:rPr>
          <w:rFonts w:ascii="Tahoma" w:hAnsi="Tahoma" w:cs="Tahoma"/>
          <w:sz w:val="24"/>
          <w:szCs w:val="24"/>
        </w:rPr>
        <w:t xml:space="preserve">Upper </w:t>
      </w:r>
      <w:proofErr w:type="spellStart"/>
      <w:r w:rsidR="001A576F" w:rsidRPr="00132AF8">
        <w:rPr>
          <w:rFonts w:ascii="Tahoma" w:hAnsi="Tahoma" w:cs="Tahoma"/>
          <w:sz w:val="24"/>
          <w:szCs w:val="24"/>
        </w:rPr>
        <w:t>Dromore</w:t>
      </w:r>
      <w:proofErr w:type="spellEnd"/>
      <w:r w:rsidR="001A576F" w:rsidRPr="00132AF8">
        <w:rPr>
          <w:rFonts w:ascii="Tahoma" w:hAnsi="Tahoma" w:cs="Tahoma"/>
          <w:sz w:val="24"/>
          <w:szCs w:val="24"/>
        </w:rPr>
        <w:t xml:space="preserve"> Rd/</w:t>
      </w:r>
      <w:proofErr w:type="spellStart"/>
      <w:r w:rsidR="001A576F" w:rsidRPr="00132AF8">
        <w:rPr>
          <w:rFonts w:ascii="Tahoma" w:hAnsi="Tahoma" w:cs="Tahoma"/>
          <w:sz w:val="24"/>
          <w:szCs w:val="24"/>
        </w:rPr>
        <w:t>Burren</w:t>
      </w:r>
      <w:proofErr w:type="spellEnd"/>
      <w:r w:rsidR="001A576F" w:rsidRPr="00132AF8">
        <w:rPr>
          <w:rFonts w:ascii="Tahoma" w:hAnsi="Tahoma" w:cs="Tahoma"/>
          <w:sz w:val="24"/>
          <w:szCs w:val="24"/>
        </w:rPr>
        <w:t xml:space="preserve"> Road</w:t>
      </w:r>
      <w:r w:rsidR="0060572F" w:rsidRPr="00132AF8">
        <w:rPr>
          <w:rFonts w:ascii="Tahoma" w:hAnsi="Tahoma" w:cs="Tahoma"/>
          <w:sz w:val="24"/>
          <w:szCs w:val="24"/>
        </w:rPr>
        <w:t xml:space="preserve"> (WB 24) 13.55 </w:t>
      </w:r>
      <w:r w:rsidR="00C7122D" w:rsidRPr="00132AF8">
        <w:rPr>
          <w:rFonts w:ascii="Tahoma" w:hAnsi="Tahoma" w:cs="Tahoma"/>
          <w:sz w:val="24"/>
          <w:szCs w:val="24"/>
        </w:rPr>
        <w:t xml:space="preserve">hectares </w:t>
      </w:r>
      <w:r w:rsidR="0060572F" w:rsidRPr="00132AF8">
        <w:rPr>
          <w:rFonts w:ascii="Tahoma" w:hAnsi="Tahoma" w:cs="Tahoma"/>
          <w:sz w:val="24"/>
          <w:szCs w:val="24"/>
        </w:rPr>
        <w:t xml:space="preserve">zoned </w:t>
      </w:r>
      <w:r w:rsidR="00C7122D" w:rsidRPr="00132AF8">
        <w:rPr>
          <w:rFonts w:ascii="Tahoma" w:hAnsi="Tahoma" w:cs="Tahoma"/>
          <w:sz w:val="24"/>
          <w:szCs w:val="24"/>
        </w:rPr>
        <w:t xml:space="preserve">for economic development </w:t>
      </w:r>
      <w:r w:rsidR="0060572F" w:rsidRPr="00132AF8">
        <w:rPr>
          <w:rFonts w:ascii="Tahoma" w:hAnsi="Tahoma" w:cs="Tahoma"/>
          <w:sz w:val="24"/>
          <w:szCs w:val="24"/>
        </w:rPr>
        <w:t xml:space="preserve">of which 12.94 </w:t>
      </w:r>
      <w:proofErr w:type="gramStart"/>
      <w:r w:rsidR="0016290A" w:rsidRPr="00132AF8">
        <w:rPr>
          <w:rFonts w:ascii="Tahoma" w:hAnsi="Tahoma" w:cs="Tahoma"/>
          <w:sz w:val="24"/>
          <w:szCs w:val="24"/>
        </w:rPr>
        <w:t xml:space="preserve">hectares </w:t>
      </w:r>
      <w:r w:rsidR="0060572F" w:rsidRPr="00132AF8">
        <w:rPr>
          <w:rFonts w:ascii="Tahoma" w:hAnsi="Tahoma" w:cs="Tahoma"/>
          <w:sz w:val="24"/>
          <w:szCs w:val="24"/>
        </w:rPr>
        <w:t xml:space="preserve"> remain</w:t>
      </w:r>
      <w:proofErr w:type="gramEnd"/>
      <w:r w:rsidR="0060572F" w:rsidRPr="00132AF8">
        <w:rPr>
          <w:rFonts w:ascii="Tahoma" w:hAnsi="Tahoma" w:cs="Tahoma"/>
          <w:sz w:val="24"/>
          <w:szCs w:val="24"/>
        </w:rPr>
        <w:t xml:space="preserve"> to be developed.</w:t>
      </w:r>
      <w:r w:rsidR="00867BC0" w:rsidRPr="00132AF8">
        <w:rPr>
          <w:rFonts w:ascii="Tahoma" w:hAnsi="Tahoma" w:cs="Tahoma"/>
          <w:sz w:val="24"/>
          <w:szCs w:val="24"/>
        </w:rPr>
        <w:t xml:space="preserve"> </w:t>
      </w:r>
      <w:r w:rsidR="00C7122D" w:rsidRPr="00132AF8">
        <w:rPr>
          <w:rFonts w:ascii="Tahoma" w:hAnsi="Tahoma" w:cs="Tahoma"/>
          <w:sz w:val="24"/>
          <w:szCs w:val="24"/>
        </w:rPr>
        <w:t xml:space="preserve">Newry Road (WB 25) 1.53 hectares of land zoned for economic development and currently undeveloped. </w:t>
      </w:r>
      <w:proofErr w:type="spellStart"/>
      <w:r w:rsidR="00C7122D" w:rsidRPr="00132AF8">
        <w:rPr>
          <w:rFonts w:ascii="Tahoma" w:hAnsi="Tahoma" w:cs="Tahoma"/>
          <w:sz w:val="24"/>
          <w:szCs w:val="24"/>
        </w:rPr>
        <w:t>Warrenpoint</w:t>
      </w:r>
      <w:proofErr w:type="spellEnd"/>
      <w:r w:rsidR="00C7122D" w:rsidRPr="00132AF8">
        <w:rPr>
          <w:rFonts w:ascii="Tahoma" w:hAnsi="Tahoma" w:cs="Tahoma"/>
          <w:sz w:val="24"/>
          <w:szCs w:val="24"/>
        </w:rPr>
        <w:t xml:space="preserve"> Harbour Authority </w:t>
      </w:r>
      <w:proofErr w:type="gramStart"/>
      <w:r w:rsidR="00C7122D" w:rsidRPr="00132AF8">
        <w:rPr>
          <w:rFonts w:ascii="Tahoma" w:hAnsi="Tahoma" w:cs="Tahoma"/>
          <w:sz w:val="24"/>
          <w:szCs w:val="24"/>
        </w:rPr>
        <w:t>have</w:t>
      </w:r>
      <w:proofErr w:type="gramEnd"/>
      <w:r w:rsidR="00C7122D" w:rsidRPr="00132AF8">
        <w:rPr>
          <w:rFonts w:ascii="Tahoma" w:hAnsi="Tahoma" w:cs="Tahoma"/>
          <w:sz w:val="24"/>
          <w:szCs w:val="24"/>
        </w:rPr>
        <w:t xml:space="preserve"> submitted an application for a change of use to port operational land and this is</w:t>
      </w:r>
      <w:r w:rsidR="00867BC0" w:rsidRPr="00132AF8">
        <w:rPr>
          <w:rFonts w:ascii="Tahoma" w:hAnsi="Tahoma" w:cs="Tahoma"/>
          <w:sz w:val="24"/>
          <w:szCs w:val="24"/>
        </w:rPr>
        <w:t xml:space="preserve"> currently under consideration. </w:t>
      </w:r>
      <w:r w:rsidR="00C7122D" w:rsidRPr="00132AF8">
        <w:rPr>
          <w:rFonts w:ascii="Tahoma" w:hAnsi="Tahoma" w:cs="Tahoma"/>
          <w:sz w:val="24"/>
          <w:szCs w:val="24"/>
        </w:rPr>
        <w:t>Milltown West (WB 26) 1.86 hectares of land at the Milltown West Industrial Estate are zoned for industry and 0.8 hectares are currently undeveloped.</w:t>
      </w:r>
    </w:p>
    <w:p w:rsidR="00226EF6" w:rsidRPr="00132AF8" w:rsidRDefault="00226EF6" w:rsidP="005B7DCE">
      <w:pPr>
        <w:autoSpaceDE w:val="0"/>
        <w:autoSpaceDN w:val="0"/>
        <w:adjustRightInd w:val="0"/>
        <w:spacing w:after="0" w:line="240" w:lineRule="auto"/>
        <w:rPr>
          <w:rFonts w:ascii="Tahoma" w:hAnsi="Tahoma" w:cs="Tahoma"/>
          <w:sz w:val="24"/>
          <w:szCs w:val="24"/>
        </w:rPr>
      </w:pPr>
    </w:p>
    <w:p w:rsidR="00071B40" w:rsidRDefault="00071B40" w:rsidP="005B7DCE">
      <w:pPr>
        <w:autoSpaceDE w:val="0"/>
        <w:autoSpaceDN w:val="0"/>
        <w:adjustRightInd w:val="0"/>
        <w:spacing w:after="0" w:line="240" w:lineRule="auto"/>
        <w:rPr>
          <w:rFonts w:ascii="Tahoma" w:hAnsi="Tahoma" w:cs="Tahoma"/>
          <w:sz w:val="24"/>
          <w:szCs w:val="24"/>
        </w:rPr>
      </w:pPr>
    </w:p>
    <w:p w:rsidR="00C4706C" w:rsidRDefault="00C4706C" w:rsidP="005B7DCE">
      <w:pPr>
        <w:autoSpaceDE w:val="0"/>
        <w:autoSpaceDN w:val="0"/>
        <w:adjustRightInd w:val="0"/>
        <w:spacing w:after="0" w:line="240" w:lineRule="auto"/>
        <w:rPr>
          <w:rFonts w:ascii="Tahoma" w:hAnsi="Tahoma" w:cs="Tahoma"/>
          <w:sz w:val="24"/>
          <w:szCs w:val="24"/>
        </w:rPr>
      </w:pPr>
    </w:p>
    <w:p w:rsidR="00C4706C" w:rsidRDefault="00C4706C" w:rsidP="005B7DCE">
      <w:pPr>
        <w:autoSpaceDE w:val="0"/>
        <w:autoSpaceDN w:val="0"/>
        <w:adjustRightInd w:val="0"/>
        <w:spacing w:after="0" w:line="240" w:lineRule="auto"/>
        <w:rPr>
          <w:rFonts w:ascii="Tahoma" w:hAnsi="Tahoma" w:cs="Tahoma"/>
          <w:sz w:val="24"/>
          <w:szCs w:val="24"/>
        </w:rPr>
      </w:pPr>
    </w:p>
    <w:p w:rsidR="00C652B9" w:rsidRPr="00132AF8" w:rsidRDefault="00C652B9" w:rsidP="005B7DCE">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lastRenderedPageBreak/>
        <w:t>Jonesborough</w:t>
      </w:r>
    </w:p>
    <w:p w:rsidR="006F1E3F" w:rsidRPr="00132AF8" w:rsidRDefault="006F1E3F" w:rsidP="005B7DCE">
      <w:pPr>
        <w:autoSpaceDE w:val="0"/>
        <w:autoSpaceDN w:val="0"/>
        <w:adjustRightInd w:val="0"/>
        <w:spacing w:after="0" w:line="240" w:lineRule="auto"/>
        <w:rPr>
          <w:rFonts w:ascii="Tahoma" w:hAnsi="Tahoma" w:cs="Tahoma"/>
          <w:sz w:val="24"/>
          <w:szCs w:val="24"/>
        </w:rPr>
      </w:pPr>
    </w:p>
    <w:p w:rsidR="00C652B9" w:rsidRPr="00132AF8" w:rsidRDefault="00313304" w:rsidP="00185000">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.23</w:t>
      </w:r>
      <w:r w:rsidR="00F14651" w:rsidRPr="00132AF8">
        <w:rPr>
          <w:rFonts w:ascii="Tahoma" w:hAnsi="Tahoma" w:cs="Tahoma"/>
          <w:sz w:val="24"/>
          <w:szCs w:val="24"/>
        </w:rPr>
        <w:t xml:space="preserve"> </w:t>
      </w:r>
      <w:r w:rsidR="003F2672">
        <w:rPr>
          <w:rFonts w:ascii="Tahoma" w:hAnsi="Tahoma" w:cs="Tahoma"/>
          <w:sz w:val="24"/>
          <w:szCs w:val="24"/>
        </w:rPr>
        <w:tab/>
      </w:r>
      <w:r w:rsidR="00F14651" w:rsidRPr="00132AF8">
        <w:rPr>
          <w:rFonts w:ascii="Tahoma" w:hAnsi="Tahoma" w:cs="Tahoma"/>
          <w:sz w:val="24"/>
          <w:szCs w:val="24"/>
        </w:rPr>
        <w:t xml:space="preserve">Within the settlement limit </w:t>
      </w:r>
      <w:r w:rsidR="00B331C6" w:rsidRPr="00132AF8">
        <w:rPr>
          <w:rFonts w:ascii="Tahoma" w:hAnsi="Tahoma" w:cs="Tahoma"/>
          <w:sz w:val="24"/>
          <w:szCs w:val="24"/>
        </w:rPr>
        <w:t>1.24 hectares of land are zoned for economic dev</w:t>
      </w:r>
      <w:r w:rsidR="00F14651" w:rsidRPr="00132AF8">
        <w:rPr>
          <w:rFonts w:ascii="Tahoma" w:hAnsi="Tahoma" w:cs="Tahoma"/>
          <w:sz w:val="24"/>
          <w:szCs w:val="24"/>
        </w:rPr>
        <w:t xml:space="preserve">elopment at </w:t>
      </w:r>
      <w:proofErr w:type="spellStart"/>
      <w:r w:rsidR="00F14651" w:rsidRPr="00132AF8">
        <w:rPr>
          <w:rFonts w:ascii="Tahoma" w:hAnsi="Tahoma" w:cs="Tahoma"/>
          <w:sz w:val="24"/>
          <w:szCs w:val="24"/>
        </w:rPr>
        <w:t>Flurrybridge</w:t>
      </w:r>
      <w:proofErr w:type="spellEnd"/>
      <w:r w:rsidR="00F14651" w:rsidRPr="00132AF8">
        <w:rPr>
          <w:rFonts w:ascii="Tahoma" w:hAnsi="Tahoma" w:cs="Tahoma"/>
          <w:sz w:val="24"/>
          <w:szCs w:val="24"/>
        </w:rPr>
        <w:t xml:space="preserve"> Enterprise Centre</w:t>
      </w:r>
      <w:r w:rsidR="00B331C6" w:rsidRPr="00132AF8">
        <w:rPr>
          <w:rFonts w:ascii="Tahoma" w:hAnsi="Tahoma" w:cs="Tahoma"/>
          <w:sz w:val="24"/>
          <w:szCs w:val="24"/>
        </w:rPr>
        <w:t>.</w:t>
      </w:r>
      <w:r w:rsidR="005F41E6" w:rsidRPr="00132AF8">
        <w:rPr>
          <w:rFonts w:ascii="Tahoma" w:hAnsi="Tahoma" w:cs="Tahoma"/>
          <w:sz w:val="24"/>
          <w:szCs w:val="24"/>
        </w:rPr>
        <w:t xml:space="preserve"> Approval was granted for 15 general industrial units in May 2012,</w:t>
      </w:r>
      <w:r w:rsidR="00F14651" w:rsidRPr="00132AF8">
        <w:rPr>
          <w:rFonts w:ascii="Tahoma" w:hAnsi="Tahoma" w:cs="Tahoma"/>
          <w:sz w:val="24"/>
          <w:szCs w:val="24"/>
        </w:rPr>
        <w:t xml:space="preserve"> </w:t>
      </w:r>
      <w:r w:rsidR="005F41E6" w:rsidRPr="00132AF8">
        <w:rPr>
          <w:rFonts w:ascii="Tahoma" w:hAnsi="Tahoma" w:cs="Tahoma"/>
          <w:sz w:val="24"/>
          <w:szCs w:val="24"/>
        </w:rPr>
        <w:t>th</w:t>
      </w:r>
      <w:r w:rsidR="004E3449" w:rsidRPr="00132AF8">
        <w:rPr>
          <w:rFonts w:ascii="Tahoma" w:hAnsi="Tahoma" w:cs="Tahoma"/>
          <w:sz w:val="24"/>
          <w:szCs w:val="24"/>
        </w:rPr>
        <w:t>ese have now been completed</w:t>
      </w:r>
      <w:r w:rsidR="005F41E6" w:rsidRPr="00132AF8">
        <w:rPr>
          <w:rFonts w:ascii="Tahoma" w:hAnsi="Tahoma" w:cs="Tahoma"/>
          <w:sz w:val="24"/>
          <w:szCs w:val="24"/>
        </w:rPr>
        <w:t>. It is considered that the zoned site is now developed</w:t>
      </w:r>
      <w:r w:rsidR="0000581F" w:rsidRPr="00132AF8">
        <w:rPr>
          <w:rFonts w:ascii="Tahoma" w:hAnsi="Tahoma" w:cs="Tahoma"/>
          <w:sz w:val="24"/>
          <w:szCs w:val="24"/>
        </w:rPr>
        <w:t>.</w:t>
      </w:r>
      <w:r w:rsidR="005F41E6" w:rsidRPr="00132AF8">
        <w:rPr>
          <w:rFonts w:ascii="Tahoma" w:hAnsi="Tahoma" w:cs="Tahoma"/>
          <w:sz w:val="24"/>
          <w:szCs w:val="24"/>
        </w:rPr>
        <w:t xml:space="preserve"> </w:t>
      </w:r>
    </w:p>
    <w:p w:rsidR="00CE03EE" w:rsidRPr="00132AF8" w:rsidRDefault="00CE03EE" w:rsidP="00B94C4F">
      <w:pPr>
        <w:autoSpaceDE w:val="0"/>
        <w:autoSpaceDN w:val="0"/>
        <w:adjustRightInd w:val="0"/>
        <w:spacing w:after="0" w:line="240" w:lineRule="auto"/>
        <w:rPr>
          <w:rFonts w:ascii="Tahoma" w:hAnsi="Tahoma" w:cs="Tahoma"/>
          <w:b/>
          <w:bCs/>
          <w:color w:val="FF0000"/>
          <w:sz w:val="24"/>
          <w:szCs w:val="24"/>
        </w:rPr>
      </w:pPr>
    </w:p>
    <w:p w:rsidR="00305D1B" w:rsidRPr="00132AF8" w:rsidRDefault="00305D1B" w:rsidP="00B94C4F">
      <w:pPr>
        <w:autoSpaceDE w:val="0"/>
        <w:autoSpaceDN w:val="0"/>
        <w:adjustRightInd w:val="0"/>
        <w:spacing w:after="0" w:line="240" w:lineRule="auto"/>
        <w:rPr>
          <w:rFonts w:ascii="Tahoma" w:hAnsi="Tahoma" w:cs="Tahoma"/>
          <w:b/>
          <w:bCs/>
          <w:sz w:val="24"/>
          <w:szCs w:val="24"/>
        </w:rPr>
      </w:pPr>
    </w:p>
    <w:p w:rsidR="003326BD" w:rsidRPr="00132AF8" w:rsidRDefault="008536FF" w:rsidP="00B94C4F">
      <w:pPr>
        <w:autoSpaceDE w:val="0"/>
        <w:autoSpaceDN w:val="0"/>
        <w:adjustRightInd w:val="0"/>
        <w:spacing w:after="0" w:line="240" w:lineRule="auto"/>
        <w:rPr>
          <w:rFonts w:ascii="Tahoma" w:hAnsi="Tahoma" w:cs="Tahoma"/>
          <w:b/>
          <w:bCs/>
          <w:sz w:val="24"/>
          <w:szCs w:val="24"/>
        </w:rPr>
      </w:pPr>
      <w:proofErr w:type="spellStart"/>
      <w:r>
        <w:rPr>
          <w:rFonts w:ascii="Tahoma" w:hAnsi="Tahoma" w:cs="Tahoma"/>
          <w:b/>
          <w:bCs/>
          <w:sz w:val="24"/>
          <w:szCs w:val="24"/>
        </w:rPr>
        <w:t>Ards</w:t>
      </w:r>
      <w:proofErr w:type="spellEnd"/>
      <w:r>
        <w:rPr>
          <w:rFonts w:ascii="Tahoma" w:hAnsi="Tahoma" w:cs="Tahoma"/>
          <w:b/>
          <w:bCs/>
          <w:sz w:val="24"/>
          <w:szCs w:val="24"/>
        </w:rPr>
        <w:t xml:space="preserve"> and Down Area</w:t>
      </w:r>
      <w:r w:rsidR="003326BD" w:rsidRPr="00132AF8">
        <w:rPr>
          <w:rFonts w:ascii="Tahoma" w:hAnsi="Tahoma" w:cs="Tahoma"/>
          <w:b/>
          <w:bCs/>
          <w:sz w:val="24"/>
          <w:szCs w:val="24"/>
        </w:rPr>
        <w:t xml:space="preserve"> Plan (ADAP) 2015</w:t>
      </w:r>
    </w:p>
    <w:p w:rsidR="00E30ED1" w:rsidRPr="00132AF8" w:rsidRDefault="00E30ED1" w:rsidP="00B94C4F">
      <w:pPr>
        <w:autoSpaceDE w:val="0"/>
        <w:autoSpaceDN w:val="0"/>
        <w:adjustRightInd w:val="0"/>
        <w:spacing w:after="0" w:line="240" w:lineRule="auto"/>
        <w:rPr>
          <w:rFonts w:ascii="Tahoma" w:hAnsi="Tahoma" w:cs="Tahoma"/>
          <w:b/>
          <w:bCs/>
          <w:sz w:val="24"/>
          <w:szCs w:val="24"/>
        </w:rPr>
      </w:pPr>
    </w:p>
    <w:p w:rsidR="00E30ED1" w:rsidRPr="00132AF8" w:rsidRDefault="00313304" w:rsidP="00185000">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6</w:t>
      </w:r>
      <w:r w:rsidR="001120ED" w:rsidRPr="00132AF8">
        <w:rPr>
          <w:rFonts w:ascii="Tahoma" w:hAnsi="Tahoma" w:cs="Tahoma"/>
          <w:b/>
          <w:bCs/>
          <w:sz w:val="24"/>
          <w:szCs w:val="24"/>
        </w:rPr>
        <w:t>.24</w:t>
      </w:r>
      <w:r w:rsidR="00D712D4" w:rsidRPr="00132AF8">
        <w:rPr>
          <w:rFonts w:ascii="Tahoma" w:hAnsi="Tahoma" w:cs="Tahoma"/>
          <w:bCs/>
          <w:sz w:val="24"/>
          <w:szCs w:val="24"/>
        </w:rPr>
        <w:t xml:space="preserve"> </w:t>
      </w:r>
      <w:r w:rsidR="003F2672">
        <w:rPr>
          <w:rFonts w:ascii="Tahoma" w:hAnsi="Tahoma" w:cs="Tahoma"/>
          <w:bCs/>
          <w:sz w:val="24"/>
          <w:szCs w:val="24"/>
        </w:rPr>
        <w:tab/>
      </w:r>
      <w:r w:rsidR="008536FF">
        <w:rPr>
          <w:rFonts w:ascii="Tahoma" w:hAnsi="Tahoma" w:cs="Tahoma"/>
          <w:sz w:val="24"/>
          <w:szCs w:val="24"/>
        </w:rPr>
        <w:t xml:space="preserve">The </w:t>
      </w:r>
      <w:proofErr w:type="spellStart"/>
      <w:r w:rsidR="008536FF">
        <w:rPr>
          <w:rFonts w:ascii="Tahoma" w:hAnsi="Tahoma" w:cs="Tahoma"/>
          <w:sz w:val="24"/>
          <w:szCs w:val="24"/>
        </w:rPr>
        <w:t>Ards</w:t>
      </w:r>
      <w:proofErr w:type="spellEnd"/>
      <w:r w:rsidR="008536FF">
        <w:rPr>
          <w:rFonts w:ascii="Tahoma" w:hAnsi="Tahoma" w:cs="Tahoma"/>
          <w:sz w:val="24"/>
          <w:szCs w:val="24"/>
        </w:rPr>
        <w:t xml:space="preserve"> and Down A</w:t>
      </w:r>
      <w:r w:rsidR="0016290A" w:rsidRPr="00132AF8">
        <w:rPr>
          <w:rFonts w:ascii="Tahoma" w:hAnsi="Tahoma" w:cs="Tahoma"/>
          <w:sz w:val="24"/>
          <w:szCs w:val="24"/>
        </w:rPr>
        <w:t xml:space="preserve">rea Plan (ADAP) </w:t>
      </w:r>
      <w:proofErr w:type="gramStart"/>
      <w:r w:rsidR="0016290A" w:rsidRPr="00132AF8">
        <w:rPr>
          <w:rFonts w:ascii="Tahoma" w:hAnsi="Tahoma" w:cs="Tahoma"/>
          <w:sz w:val="24"/>
          <w:szCs w:val="24"/>
        </w:rPr>
        <w:t>was</w:t>
      </w:r>
      <w:proofErr w:type="gramEnd"/>
      <w:r w:rsidR="0016290A" w:rsidRPr="00132AF8">
        <w:rPr>
          <w:rFonts w:ascii="Tahoma" w:hAnsi="Tahoma" w:cs="Tahoma"/>
          <w:sz w:val="24"/>
          <w:szCs w:val="24"/>
        </w:rPr>
        <w:t xml:space="preserve"> adopt</w:t>
      </w:r>
      <w:r w:rsidR="008536FF">
        <w:rPr>
          <w:rFonts w:ascii="Tahoma" w:hAnsi="Tahoma" w:cs="Tahoma"/>
          <w:sz w:val="24"/>
          <w:szCs w:val="24"/>
        </w:rPr>
        <w:t>ed in March 2009 and is the Development P</w:t>
      </w:r>
      <w:r w:rsidR="0016290A" w:rsidRPr="00132AF8">
        <w:rPr>
          <w:rFonts w:ascii="Tahoma" w:hAnsi="Tahoma" w:cs="Tahoma"/>
          <w:sz w:val="24"/>
          <w:szCs w:val="24"/>
        </w:rPr>
        <w:t>lan that covers the former Down District Council area</w:t>
      </w:r>
      <w:r w:rsidR="008536FF">
        <w:rPr>
          <w:rFonts w:ascii="Tahoma" w:hAnsi="Tahoma" w:cs="Tahoma"/>
          <w:sz w:val="24"/>
          <w:szCs w:val="24"/>
        </w:rPr>
        <w:t>.</w:t>
      </w:r>
      <w:r w:rsidR="0016290A" w:rsidRPr="00132AF8">
        <w:rPr>
          <w:rFonts w:ascii="Tahoma" w:hAnsi="Tahoma" w:cs="Tahoma"/>
          <w:bCs/>
          <w:sz w:val="24"/>
          <w:szCs w:val="24"/>
        </w:rPr>
        <w:t xml:space="preserve"> </w:t>
      </w:r>
      <w:r w:rsidR="00E30ED1" w:rsidRPr="00132AF8">
        <w:rPr>
          <w:rFonts w:ascii="Tahoma" w:hAnsi="Tahoma" w:cs="Tahoma"/>
          <w:bCs/>
          <w:sz w:val="24"/>
          <w:szCs w:val="24"/>
        </w:rPr>
        <w:t>The ADAP</w:t>
      </w:r>
      <w:r w:rsidR="004E4435" w:rsidRPr="00132AF8">
        <w:rPr>
          <w:rFonts w:ascii="Tahoma" w:hAnsi="Tahoma" w:cs="Tahoma"/>
          <w:bCs/>
          <w:sz w:val="24"/>
          <w:szCs w:val="24"/>
        </w:rPr>
        <w:t xml:space="preserve"> zoned 19.7</w:t>
      </w:r>
      <w:r w:rsidR="00E30ED1" w:rsidRPr="00132AF8">
        <w:rPr>
          <w:rFonts w:ascii="Tahoma" w:hAnsi="Tahoma" w:cs="Tahoma"/>
          <w:bCs/>
          <w:sz w:val="24"/>
          <w:szCs w:val="24"/>
        </w:rPr>
        <w:t xml:space="preserve"> hectares of land for industrial purposes in Downpatrick </w:t>
      </w:r>
      <w:r w:rsidR="009236B2" w:rsidRPr="00132AF8">
        <w:rPr>
          <w:rFonts w:ascii="Tahoma" w:hAnsi="Tahoma" w:cs="Tahoma"/>
          <w:bCs/>
          <w:sz w:val="24"/>
          <w:szCs w:val="24"/>
        </w:rPr>
        <w:t>in keeping with its status as a main hub and strategic role as a centre of employment. A</w:t>
      </w:r>
      <w:r w:rsidR="00E30ED1" w:rsidRPr="00132AF8">
        <w:rPr>
          <w:rFonts w:ascii="Tahoma" w:hAnsi="Tahoma" w:cs="Tahoma"/>
          <w:bCs/>
          <w:sz w:val="24"/>
          <w:szCs w:val="24"/>
        </w:rPr>
        <w:t xml:space="preserve"> further</w:t>
      </w:r>
      <w:r w:rsidR="00F00E72" w:rsidRPr="00132AF8">
        <w:rPr>
          <w:rFonts w:ascii="Tahoma" w:hAnsi="Tahoma" w:cs="Tahoma"/>
          <w:bCs/>
          <w:sz w:val="24"/>
          <w:szCs w:val="24"/>
        </w:rPr>
        <w:t xml:space="preserve"> 5.3</w:t>
      </w:r>
      <w:r w:rsidR="009236B2" w:rsidRPr="00132AF8">
        <w:rPr>
          <w:rFonts w:ascii="Tahoma" w:hAnsi="Tahoma" w:cs="Tahoma"/>
          <w:bCs/>
          <w:sz w:val="24"/>
          <w:szCs w:val="24"/>
        </w:rPr>
        <w:t xml:space="preserve"> </w:t>
      </w:r>
      <w:r w:rsidR="00E30ED1" w:rsidRPr="00132AF8">
        <w:rPr>
          <w:rFonts w:ascii="Tahoma" w:hAnsi="Tahoma" w:cs="Tahoma"/>
          <w:bCs/>
          <w:sz w:val="24"/>
          <w:szCs w:val="24"/>
        </w:rPr>
        <w:t xml:space="preserve">hectares </w:t>
      </w:r>
      <w:r w:rsidR="009236B2" w:rsidRPr="00132AF8">
        <w:rPr>
          <w:rFonts w:ascii="Tahoma" w:hAnsi="Tahoma" w:cs="Tahoma"/>
          <w:bCs/>
          <w:sz w:val="24"/>
          <w:szCs w:val="24"/>
        </w:rPr>
        <w:t xml:space="preserve">were </w:t>
      </w:r>
      <w:r w:rsidR="00E30ED1" w:rsidRPr="00132AF8">
        <w:rPr>
          <w:rFonts w:ascii="Tahoma" w:hAnsi="Tahoma" w:cs="Tahoma"/>
          <w:bCs/>
          <w:sz w:val="24"/>
          <w:szCs w:val="24"/>
        </w:rPr>
        <w:t xml:space="preserve">distributed across the main towns of </w:t>
      </w:r>
      <w:proofErr w:type="spellStart"/>
      <w:r w:rsidR="00F00E72" w:rsidRPr="00132AF8">
        <w:rPr>
          <w:rFonts w:ascii="Tahoma" w:hAnsi="Tahoma" w:cs="Tahoma"/>
          <w:bCs/>
          <w:sz w:val="24"/>
          <w:szCs w:val="24"/>
        </w:rPr>
        <w:t>Ballynahinch</w:t>
      </w:r>
      <w:proofErr w:type="spellEnd"/>
      <w:r w:rsidR="00F00E72" w:rsidRPr="00132AF8">
        <w:rPr>
          <w:rFonts w:ascii="Tahoma" w:hAnsi="Tahoma" w:cs="Tahoma"/>
          <w:bCs/>
          <w:sz w:val="24"/>
          <w:szCs w:val="24"/>
        </w:rPr>
        <w:t xml:space="preserve"> and Newcastle. </w:t>
      </w:r>
      <w:r w:rsidR="00E30ED1" w:rsidRPr="00132AF8">
        <w:rPr>
          <w:rFonts w:ascii="Tahoma" w:hAnsi="Tahoma" w:cs="Tahoma"/>
          <w:bCs/>
          <w:sz w:val="24"/>
          <w:szCs w:val="24"/>
        </w:rPr>
        <w:t>In addition to</w:t>
      </w:r>
      <w:r w:rsidR="00F00E72" w:rsidRPr="00132AF8">
        <w:rPr>
          <w:rFonts w:ascii="Tahoma" w:hAnsi="Tahoma" w:cs="Tahoma"/>
          <w:bCs/>
          <w:sz w:val="24"/>
          <w:szCs w:val="24"/>
        </w:rPr>
        <w:t xml:space="preserve"> the</w:t>
      </w:r>
      <w:r w:rsidR="00E30ED1" w:rsidRPr="00132AF8">
        <w:rPr>
          <w:rFonts w:ascii="Tahoma" w:hAnsi="Tahoma" w:cs="Tahoma"/>
          <w:bCs/>
          <w:sz w:val="24"/>
          <w:szCs w:val="24"/>
        </w:rPr>
        <w:t xml:space="preserve"> land zoned for industrial development within settlement limits</w:t>
      </w:r>
      <w:r w:rsidR="0016290A" w:rsidRPr="00132AF8">
        <w:rPr>
          <w:rFonts w:ascii="Tahoma" w:hAnsi="Tahoma" w:cs="Tahoma"/>
          <w:bCs/>
          <w:sz w:val="24"/>
          <w:szCs w:val="24"/>
        </w:rPr>
        <w:t>,</w:t>
      </w:r>
      <w:r w:rsidR="00E30ED1" w:rsidRPr="00132AF8">
        <w:rPr>
          <w:rFonts w:ascii="Tahoma" w:hAnsi="Tahoma" w:cs="Tahoma"/>
          <w:bCs/>
          <w:sz w:val="24"/>
          <w:szCs w:val="24"/>
        </w:rPr>
        <w:t xml:space="preserve"> the ADAP identified 3.95 </w:t>
      </w:r>
      <w:proofErr w:type="gramStart"/>
      <w:r w:rsidR="0016290A" w:rsidRPr="00132AF8">
        <w:rPr>
          <w:rFonts w:ascii="Tahoma" w:hAnsi="Tahoma" w:cs="Tahoma"/>
          <w:bCs/>
          <w:sz w:val="24"/>
          <w:szCs w:val="24"/>
        </w:rPr>
        <w:t xml:space="preserve">hectares </w:t>
      </w:r>
      <w:r w:rsidR="00E30ED1" w:rsidRPr="00132AF8">
        <w:rPr>
          <w:rFonts w:ascii="Tahoma" w:hAnsi="Tahoma" w:cs="Tahoma"/>
          <w:bCs/>
          <w:sz w:val="24"/>
          <w:szCs w:val="24"/>
        </w:rPr>
        <w:t xml:space="preserve"> at</w:t>
      </w:r>
      <w:proofErr w:type="gramEnd"/>
      <w:r w:rsidR="00E30ED1" w:rsidRPr="00132AF8">
        <w:rPr>
          <w:rFonts w:ascii="Tahoma" w:hAnsi="Tahoma" w:cs="Tahoma"/>
          <w:bCs/>
          <w:sz w:val="24"/>
          <w:szCs w:val="24"/>
        </w:rPr>
        <w:t xml:space="preserve"> the </w:t>
      </w:r>
      <w:proofErr w:type="spellStart"/>
      <w:r w:rsidR="00E30ED1" w:rsidRPr="00132AF8">
        <w:rPr>
          <w:rFonts w:ascii="Tahoma" w:hAnsi="Tahoma" w:cs="Tahoma"/>
          <w:bCs/>
          <w:sz w:val="24"/>
          <w:szCs w:val="24"/>
        </w:rPr>
        <w:t>Ball</w:t>
      </w:r>
      <w:r w:rsidR="00BC4A23" w:rsidRPr="00132AF8">
        <w:rPr>
          <w:rFonts w:ascii="Tahoma" w:hAnsi="Tahoma" w:cs="Tahoma"/>
          <w:bCs/>
          <w:sz w:val="24"/>
          <w:szCs w:val="24"/>
        </w:rPr>
        <w:t>y</w:t>
      </w:r>
      <w:r w:rsidR="00E30ED1" w:rsidRPr="00132AF8">
        <w:rPr>
          <w:rFonts w:ascii="Tahoma" w:hAnsi="Tahoma" w:cs="Tahoma"/>
          <w:bCs/>
          <w:sz w:val="24"/>
          <w:szCs w:val="24"/>
        </w:rPr>
        <w:t>nahinch</w:t>
      </w:r>
      <w:proofErr w:type="spellEnd"/>
      <w:r w:rsidR="00E30ED1" w:rsidRPr="00132AF8">
        <w:rPr>
          <w:rFonts w:ascii="Tahoma" w:hAnsi="Tahoma" w:cs="Tahoma"/>
          <w:bCs/>
          <w:sz w:val="24"/>
          <w:szCs w:val="24"/>
        </w:rPr>
        <w:t xml:space="preserve"> Rd, </w:t>
      </w:r>
      <w:proofErr w:type="spellStart"/>
      <w:r w:rsidR="00E30ED1" w:rsidRPr="00132AF8">
        <w:rPr>
          <w:rFonts w:ascii="Tahoma" w:hAnsi="Tahoma" w:cs="Tahoma"/>
          <w:bCs/>
          <w:sz w:val="24"/>
          <w:szCs w:val="24"/>
        </w:rPr>
        <w:t>Crossgar</w:t>
      </w:r>
      <w:proofErr w:type="spellEnd"/>
      <w:r w:rsidR="00E30ED1" w:rsidRPr="00132AF8">
        <w:rPr>
          <w:rFonts w:ascii="Tahoma" w:hAnsi="Tahoma" w:cs="Tahoma"/>
          <w:bCs/>
          <w:sz w:val="24"/>
          <w:szCs w:val="24"/>
        </w:rPr>
        <w:t xml:space="preserve"> for industry and 12.52 </w:t>
      </w:r>
      <w:r w:rsidR="0016290A" w:rsidRPr="00132AF8">
        <w:rPr>
          <w:rFonts w:ascii="Tahoma" w:hAnsi="Tahoma" w:cs="Tahoma"/>
          <w:bCs/>
          <w:sz w:val="24"/>
          <w:szCs w:val="24"/>
        </w:rPr>
        <w:t xml:space="preserve">hectares </w:t>
      </w:r>
      <w:r w:rsidR="00E30ED1" w:rsidRPr="00132AF8">
        <w:rPr>
          <w:rFonts w:ascii="Tahoma" w:hAnsi="Tahoma" w:cs="Tahoma"/>
          <w:bCs/>
          <w:sz w:val="24"/>
          <w:szCs w:val="24"/>
        </w:rPr>
        <w:t xml:space="preserve"> of undeveloped industrial land at the serviced Invest NI site </w:t>
      </w:r>
      <w:r w:rsidR="00F00E72" w:rsidRPr="00132AF8">
        <w:rPr>
          <w:rFonts w:ascii="Tahoma" w:hAnsi="Tahoma" w:cs="Tahoma"/>
          <w:bCs/>
          <w:sz w:val="24"/>
          <w:szCs w:val="24"/>
        </w:rPr>
        <w:t xml:space="preserve">off the </w:t>
      </w:r>
      <w:r w:rsidR="00E30ED1" w:rsidRPr="00132AF8">
        <w:rPr>
          <w:rFonts w:ascii="Tahoma" w:hAnsi="Tahoma" w:cs="Tahoma"/>
          <w:bCs/>
          <w:sz w:val="24"/>
          <w:szCs w:val="24"/>
        </w:rPr>
        <w:t>Belfast Road, Downpatrick</w:t>
      </w:r>
      <w:r w:rsidR="0016290A" w:rsidRPr="00132AF8">
        <w:rPr>
          <w:rFonts w:ascii="Tahoma" w:hAnsi="Tahoma" w:cs="Tahoma"/>
          <w:bCs/>
          <w:sz w:val="24"/>
          <w:szCs w:val="24"/>
        </w:rPr>
        <w:t xml:space="preserve"> (Down Business Park)</w:t>
      </w:r>
    </w:p>
    <w:p w:rsidR="00867BC0" w:rsidRPr="00132AF8" w:rsidRDefault="00867BC0" w:rsidP="00185000">
      <w:pPr>
        <w:autoSpaceDE w:val="0"/>
        <w:autoSpaceDN w:val="0"/>
        <w:adjustRightInd w:val="0"/>
        <w:spacing w:after="0" w:line="240" w:lineRule="auto"/>
        <w:jc w:val="both"/>
        <w:rPr>
          <w:rFonts w:ascii="Tahoma" w:hAnsi="Tahoma" w:cs="Tahoma"/>
          <w:bCs/>
          <w:sz w:val="24"/>
          <w:szCs w:val="24"/>
        </w:rPr>
      </w:pPr>
    </w:p>
    <w:p w:rsidR="00B42513" w:rsidRPr="00132AF8" w:rsidRDefault="00313304" w:rsidP="00185000">
      <w:pPr>
        <w:autoSpaceDE w:val="0"/>
        <w:autoSpaceDN w:val="0"/>
        <w:adjustRightInd w:val="0"/>
        <w:spacing w:after="0" w:line="240" w:lineRule="auto"/>
        <w:jc w:val="both"/>
        <w:rPr>
          <w:rFonts w:ascii="Tahoma" w:hAnsi="Tahoma" w:cs="Tahoma"/>
          <w:bCs/>
          <w:sz w:val="24"/>
          <w:szCs w:val="24"/>
        </w:rPr>
      </w:pPr>
      <w:r w:rsidRPr="00132AF8">
        <w:rPr>
          <w:rFonts w:ascii="Tahoma" w:hAnsi="Tahoma" w:cs="Tahoma"/>
          <w:b/>
          <w:bCs/>
          <w:sz w:val="24"/>
          <w:szCs w:val="24"/>
        </w:rPr>
        <w:t>6</w:t>
      </w:r>
      <w:r w:rsidR="001120ED" w:rsidRPr="00132AF8">
        <w:rPr>
          <w:rFonts w:ascii="Tahoma" w:hAnsi="Tahoma" w:cs="Tahoma"/>
          <w:b/>
          <w:bCs/>
          <w:sz w:val="24"/>
          <w:szCs w:val="24"/>
        </w:rPr>
        <w:t>.25</w:t>
      </w:r>
      <w:r w:rsidR="00BD085E" w:rsidRPr="00132AF8">
        <w:rPr>
          <w:rFonts w:ascii="Tahoma" w:hAnsi="Tahoma" w:cs="Tahoma"/>
          <w:bCs/>
          <w:sz w:val="24"/>
          <w:szCs w:val="24"/>
        </w:rPr>
        <w:t xml:space="preserve"> The ADAP also identified Industrial Policy Area</w:t>
      </w:r>
      <w:r w:rsidR="0016290A" w:rsidRPr="00132AF8">
        <w:rPr>
          <w:rFonts w:ascii="Tahoma" w:hAnsi="Tahoma" w:cs="Tahoma"/>
          <w:bCs/>
          <w:sz w:val="24"/>
          <w:szCs w:val="24"/>
        </w:rPr>
        <w:t>s</w:t>
      </w:r>
      <w:r w:rsidR="00BD085E" w:rsidRPr="00132AF8">
        <w:rPr>
          <w:rFonts w:ascii="Tahoma" w:hAnsi="Tahoma" w:cs="Tahoma"/>
          <w:bCs/>
          <w:sz w:val="24"/>
          <w:szCs w:val="24"/>
        </w:rPr>
        <w:t xml:space="preserve"> within the settlement limits of </w:t>
      </w:r>
      <w:r w:rsidR="000450F5">
        <w:rPr>
          <w:rFonts w:ascii="Tahoma" w:hAnsi="Tahoma" w:cs="Tahoma"/>
          <w:bCs/>
          <w:sz w:val="24"/>
          <w:szCs w:val="24"/>
        </w:rPr>
        <w:t xml:space="preserve">a number of </w:t>
      </w:r>
      <w:r w:rsidR="00BD085E" w:rsidRPr="00132AF8">
        <w:rPr>
          <w:rFonts w:ascii="Tahoma" w:hAnsi="Tahoma" w:cs="Tahoma"/>
          <w:bCs/>
          <w:sz w:val="24"/>
          <w:szCs w:val="24"/>
        </w:rPr>
        <w:t xml:space="preserve">villages and </w:t>
      </w:r>
      <w:r w:rsidR="000450F5">
        <w:rPr>
          <w:rFonts w:ascii="Tahoma" w:hAnsi="Tahoma" w:cs="Tahoma"/>
          <w:bCs/>
          <w:sz w:val="24"/>
          <w:szCs w:val="24"/>
        </w:rPr>
        <w:t xml:space="preserve">one </w:t>
      </w:r>
      <w:r w:rsidR="00BD085E" w:rsidRPr="00132AF8">
        <w:rPr>
          <w:rFonts w:ascii="Tahoma" w:hAnsi="Tahoma" w:cs="Tahoma"/>
          <w:bCs/>
          <w:sz w:val="24"/>
          <w:szCs w:val="24"/>
        </w:rPr>
        <w:t>small</w:t>
      </w:r>
      <w:r w:rsidR="00E416A4" w:rsidRPr="00132AF8">
        <w:rPr>
          <w:rFonts w:ascii="Tahoma" w:hAnsi="Tahoma" w:cs="Tahoma"/>
          <w:bCs/>
          <w:sz w:val="24"/>
          <w:szCs w:val="24"/>
        </w:rPr>
        <w:t xml:space="preserve"> se</w:t>
      </w:r>
      <w:r w:rsidR="00BD085E" w:rsidRPr="00132AF8">
        <w:rPr>
          <w:rFonts w:ascii="Tahoma" w:hAnsi="Tahoma" w:cs="Tahoma"/>
          <w:bCs/>
          <w:sz w:val="24"/>
          <w:szCs w:val="24"/>
        </w:rPr>
        <w:t>ttlemen</w:t>
      </w:r>
      <w:r w:rsidR="000450F5">
        <w:rPr>
          <w:rFonts w:ascii="Tahoma" w:hAnsi="Tahoma" w:cs="Tahoma"/>
          <w:bCs/>
          <w:sz w:val="24"/>
          <w:szCs w:val="24"/>
        </w:rPr>
        <w:t>t</w:t>
      </w:r>
      <w:r w:rsidR="00E416A4" w:rsidRPr="00132AF8">
        <w:rPr>
          <w:rFonts w:ascii="Tahoma" w:hAnsi="Tahoma" w:cs="Tahoma"/>
          <w:bCs/>
          <w:sz w:val="24"/>
          <w:szCs w:val="24"/>
        </w:rPr>
        <w:t>.</w:t>
      </w:r>
      <w:r w:rsidR="00184395" w:rsidRPr="00132AF8">
        <w:rPr>
          <w:rFonts w:ascii="Tahoma" w:hAnsi="Tahoma" w:cs="Tahoma"/>
          <w:bCs/>
          <w:sz w:val="24"/>
          <w:szCs w:val="24"/>
        </w:rPr>
        <w:t xml:space="preserve"> Whilst these lands are considered particularly suitable for industry or business they do </w:t>
      </w:r>
      <w:r w:rsidR="00BD085E" w:rsidRPr="00132AF8">
        <w:rPr>
          <w:rFonts w:ascii="Tahoma" w:hAnsi="Tahoma" w:cs="Tahoma"/>
          <w:bCs/>
          <w:sz w:val="24"/>
          <w:szCs w:val="24"/>
        </w:rPr>
        <w:t>allow</w:t>
      </w:r>
      <w:r w:rsidR="004E4435" w:rsidRPr="00132AF8">
        <w:rPr>
          <w:rFonts w:ascii="Tahoma" w:hAnsi="Tahoma" w:cs="Tahoma"/>
          <w:bCs/>
          <w:sz w:val="24"/>
          <w:szCs w:val="24"/>
        </w:rPr>
        <w:t>, unless otherwise stated,</w:t>
      </w:r>
      <w:r w:rsidR="00BD085E" w:rsidRPr="00132AF8">
        <w:rPr>
          <w:rFonts w:ascii="Tahoma" w:hAnsi="Tahoma" w:cs="Tahoma"/>
          <w:bCs/>
          <w:sz w:val="24"/>
          <w:szCs w:val="24"/>
        </w:rPr>
        <w:t xml:space="preserve"> alternative types of development</w:t>
      </w:r>
      <w:r w:rsidR="004E4435" w:rsidRPr="00132AF8">
        <w:rPr>
          <w:rFonts w:ascii="Tahoma" w:hAnsi="Tahoma" w:cs="Tahoma"/>
          <w:bCs/>
          <w:sz w:val="24"/>
          <w:szCs w:val="24"/>
        </w:rPr>
        <w:t>. The alternative use must</w:t>
      </w:r>
      <w:r w:rsidR="00BD085E" w:rsidRPr="00132AF8">
        <w:rPr>
          <w:rFonts w:ascii="Tahoma" w:hAnsi="Tahoma" w:cs="Tahoma"/>
          <w:bCs/>
          <w:sz w:val="24"/>
          <w:szCs w:val="24"/>
        </w:rPr>
        <w:t xml:space="preserve"> be subordinate to the industrial</w:t>
      </w:r>
      <w:r w:rsidR="00184395" w:rsidRPr="00132AF8">
        <w:rPr>
          <w:rFonts w:ascii="Tahoma" w:hAnsi="Tahoma" w:cs="Tahoma"/>
          <w:bCs/>
          <w:sz w:val="24"/>
          <w:szCs w:val="24"/>
        </w:rPr>
        <w:t xml:space="preserve"> or business</w:t>
      </w:r>
      <w:r w:rsidR="004E4435" w:rsidRPr="00132AF8">
        <w:rPr>
          <w:rFonts w:ascii="Tahoma" w:hAnsi="Tahoma" w:cs="Tahoma"/>
          <w:bCs/>
          <w:sz w:val="24"/>
          <w:szCs w:val="24"/>
        </w:rPr>
        <w:t xml:space="preserve"> use and be able to</w:t>
      </w:r>
      <w:r w:rsidR="00BD085E" w:rsidRPr="00132AF8">
        <w:rPr>
          <w:rFonts w:ascii="Tahoma" w:hAnsi="Tahoma" w:cs="Tahoma"/>
          <w:bCs/>
          <w:sz w:val="24"/>
          <w:szCs w:val="24"/>
        </w:rPr>
        <w:t xml:space="preserve"> exist in close proximity to the preferred use without adverse environmental consequences.</w:t>
      </w:r>
      <w:r w:rsidR="00184395" w:rsidRPr="00132AF8">
        <w:rPr>
          <w:rFonts w:ascii="Tahoma" w:hAnsi="Tahoma" w:cs="Tahoma"/>
          <w:bCs/>
          <w:sz w:val="24"/>
          <w:szCs w:val="24"/>
        </w:rPr>
        <w:t xml:space="preserve"> </w:t>
      </w:r>
      <w:r w:rsidR="004E4435" w:rsidRPr="00132AF8">
        <w:rPr>
          <w:rFonts w:ascii="Tahoma" w:hAnsi="Tahoma" w:cs="Tahoma"/>
          <w:bCs/>
          <w:sz w:val="24"/>
          <w:szCs w:val="24"/>
        </w:rPr>
        <w:t xml:space="preserve">Lands designated as </w:t>
      </w:r>
      <w:r w:rsidR="00184395" w:rsidRPr="00132AF8">
        <w:rPr>
          <w:rFonts w:ascii="Tahoma" w:hAnsi="Tahoma" w:cs="Tahoma"/>
          <w:bCs/>
          <w:sz w:val="24"/>
          <w:szCs w:val="24"/>
        </w:rPr>
        <w:t>Industrial Policy Area</w:t>
      </w:r>
      <w:r w:rsidR="0016290A" w:rsidRPr="00132AF8">
        <w:rPr>
          <w:rFonts w:ascii="Tahoma" w:hAnsi="Tahoma" w:cs="Tahoma"/>
          <w:bCs/>
          <w:sz w:val="24"/>
          <w:szCs w:val="24"/>
        </w:rPr>
        <w:t>s</w:t>
      </w:r>
      <w:r w:rsidR="00184395" w:rsidRPr="00132AF8">
        <w:rPr>
          <w:rFonts w:ascii="Tahoma" w:hAnsi="Tahoma" w:cs="Tahoma"/>
          <w:bCs/>
          <w:sz w:val="24"/>
          <w:szCs w:val="24"/>
        </w:rPr>
        <w:t xml:space="preserve"> are not </w:t>
      </w:r>
      <w:r w:rsidR="004E4435" w:rsidRPr="00132AF8">
        <w:rPr>
          <w:rFonts w:ascii="Tahoma" w:hAnsi="Tahoma" w:cs="Tahoma"/>
          <w:bCs/>
          <w:sz w:val="24"/>
          <w:szCs w:val="24"/>
        </w:rPr>
        <w:t xml:space="preserve">however </w:t>
      </w:r>
      <w:r w:rsidR="00184395" w:rsidRPr="00132AF8">
        <w:rPr>
          <w:rFonts w:ascii="Tahoma" w:hAnsi="Tahoma" w:cs="Tahoma"/>
          <w:bCs/>
          <w:sz w:val="24"/>
          <w:szCs w:val="24"/>
        </w:rPr>
        <w:t>included within the fig</w:t>
      </w:r>
      <w:r w:rsidR="004E4435" w:rsidRPr="00132AF8">
        <w:rPr>
          <w:rFonts w:ascii="Tahoma" w:hAnsi="Tahoma" w:cs="Tahoma"/>
          <w:bCs/>
          <w:sz w:val="24"/>
          <w:szCs w:val="24"/>
        </w:rPr>
        <w:t>ures for industrial land z</w:t>
      </w:r>
      <w:r w:rsidR="00184395" w:rsidRPr="00132AF8">
        <w:rPr>
          <w:rFonts w:ascii="Tahoma" w:hAnsi="Tahoma" w:cs="Tahoma"/>
          <w:bCs/>
          <w:sz w:val="24"/>
          <w:szCs w:val="24"/>
        </w:rPr>
        <w:t>oning.</w:t>
      </w:r>
      <w:r w:rsidR="000450F5">
        <w:rPr>
          <w:rFonts w:ascii="Tahoma" w:hAnsi="Tahoma" w:cs="Tahoma"/>
          <w:bCs/>
          <w:sz w:val="24"/>
          <w:szCs w:val="24"/>
        </w:rPr>
        <w:t xml:space="preserve"> A list of the Industrial Policy Areas identified in the ADAP is contained in Appendix E.</w:t>
      </w:r>
    </w:p>
    <w:p w:rsidR="00BD085E" w:rsidRPr="00132AF8" w:rsidRDefault="00BD085E" w:rsidP="00B94C4F">
      <w:pPr>
        <w:autoSpaceDE w:val="0"/>
        <w:autoSpaceDN w:val="0"/>
        <w:adjustRightInd w:val="0"/>
        <w:spacing w:after="0" w:line="240" w:lineRule="auto"/>
        <w:rPr>
          <w:rFonts w:ascii="Tahoma" w:hAnsi="Tahoma" w:cs="Tahoma"/>
          <w:bCs/>
          <w:sz w:val="24"/>
          <w:szCs w:val="24"/>
        </w:rPr>
      </w:pPr>
    </w:p>
    <w:p w:rsidR="00270C9F" w:rsidRPr="00132AF8" w:rsidRDefault="00270C9F" w:rsidP="00B94C4F">
      <w:pPr>
        <w:autoSpaceDE w:val="0"/>
        <w:autoSpaceDN w:val="0"/>
        <w:adjustRightInd w:val="0"/>
        <w:spacing w:after="0" w:line="240" w:lineRule="auto"/>
        <w:rPr>
          <w:rFonts w:ascii="Tahoma" w:hAnsi="Tahoma" w:cs="Tahoma"/>
          <w:b/>
          <w:bCs/>
          <w:sz w:val="24"/>
          <w:szCs w:val="24"/>
        </w:rPr>
      </w:pPr>
      <w:r w:rsidRPr="00132AF8">
        <w:rPr>
          <w:rFonts w:ascii="Tahoma" w:hAnsi="Tahoma" w:cs="Tahoma"/>
          <w:b/>
          <w:bCs/>
          <w:sz w:val="24"/>
          <w:szCs w:val="24"/>
        </w:rPr>
        <w:t xml:space="preserve">Downpatrick </w:t>
      </w:r>
    </w:p>
    <w:p w:rsidR="00270C9F" w:rsidRPr="00132AF8" w:rsidRDefault="00270C9F" w:rsidP="00B94C4F">
      <w:pPr>
        <w:autoSpaceDE w:val="0"/>
        <w:autoSpaceDN w:val="0"/>
        <w:adjustRightInd w:val="0"/>
        <w:spacing w:after="0" w:line="240" w:lineRule="auto"/>
        <w:rPr>
          <w:rFonts w:ascii="Tahoma" w:hAnsi="Tahoma" w:cs="Tahoma"/>
          <w:b/>
          <w:bCs/>
          <w:sz w:val="24"/>
          <w:szCs w:val="24"/>
        </w:rPr>
      </w:pPr>
    </w:p>
    <w:p w:rsidR="00270C9F" w:rsidRPr="00132AF8" w:rsidRDefault="00313304" w:rsidP="00185000">
      <w:pPr>
        <w:autoSpaceDE w:val="0"/>
        <w:autoSpaceDN w:val="0"/>
        <w:adjustRightInd w:val="0"/>
        <w:spacing w:after="0" w:line="240" w:lineRule="auto"/>
        <w:jc w:val="both"/>
        <w:rPr>
          <w:rFonts w:ascii="Tahoma" w:hAnsi="Tahoma" w:cs="Tahoma"/>
          <w:sz w:val="24"/>
          <w:szCs w:val="24"/>
        </w:rPr>
      </w:pPr>
      <w:r w:rsidRPr="00132AF8">
        <w:rPr>
          <w:rFonts w:ascii="Tahoma" w:hAnsi="Tahoma" w:cs="Tahoma"/>
          <w:b/>
          <w:bCs/>
          <w:sz w:val="24"/>
          <w:szCs w:val="24"/>
        </w:rPr>
        <w:t>6</w:t>
      </w:r>
      <w:r w:rsidR="001120ED" w:rsidRPr="00132AF8">
        <w:rPr>
          <w:rFonts w:ascii="Tahoma" w:hAnsi="Tahoma" w:cs="Tahoma"/>
          <w:b/>
          <w:bCs/>
          <w:sz w:val="24"/>
          <w:szCs w:val="24"/>
        </w:rPr>
        <w:t>.26</w:t>
      </w:r>
      <w:r w:rsidR="00B94C4F" w:rsidRPr="00132AF8">
        <w:rPr>
          <w:rFonts w:ascii="Tahoma" w:hAnsi="Tahoma" w:cs="Tahoma"/>
          <w:b/>
          <w:bCs/>
          <w:sz w:val="24"/>
          <w:szCs w:val="24"/>
        </w:rPr>
        <w:t xml:space="preserve"> </w:t>
      </w:r>
      <w:r w:rsidR="003F2672">
        <w:rPr>
          <w:rFonts w:ascii="Tahoma" w:hAnsi="Tahoma" w:cs="Tahoma"/>
          <w:b/>
          <w:bCs/>
          <w:sz w:val="24"/>
          <w:szCs w:val="24"/>
        </w:rPr>
        <w:tab/>
      </w:r>
      <w:r w:rsidR="00E61A50" w:rsidRPr="00132AF8">
        <w:rPr>
          <w:rFonts w:ascii="Tahoma" w:hAnsi="Tahoma" w:cs="Tahoma"/>
          <w:bCs/>
          <w:sz w:val="24"/>
          <w:szCs w:val="24"/>
        </w:rPr>
        <w:t>In Downpatrick t</w:t>
      </w:r>
      <w:r w:rsidR="00473D3C" w:rsidRPr="00132AF8">
        <w:rPr>
          <w:rFonts w:ascii="Tahoma" w:hAnsi="Tahoma" w:cs="Tahoma"/>
          <w:bCs/>
          <w:sz w:val="24"/>
          <w:szCs w:val="24"/>
        </w:rPr>
        <w:t xml:space="preserve">he ADAP zoned 7.9 hectares of industrial lands </w:t>
      </w:r>
      <w:proofErr w:type="gramStart"/>
      <w:r w:rsidR="00473D3C" w:rsidRPr="00132AF8">
        <w:rPr>
          <w:rFonts w:ascii="Tahoma" w:hAnsi="Tahoma" w:cs="Tahoma"/>
          <w:bCs/>
          <w:sz w:val="24"/>
          <w:szCs w:val="24"/>
        </w:rPr>
        <w:t xml:space="preserve">immediately </w:t>
      </w:r>
      <w:r w:rsidR="00E61A50" w:rsidRPr="00132AF8">
        <w:rPr>
          <w:rFonts w:ascii="Tahoma" w:hAnsi="Tahoma" w:cs="Tahoma"/>
          <w:bCs/>
          <w:sz w:val="24"/>
          <w:szCs w:val="24"/>
        </w:rPr>
        <w:t xml:space="preserve"> west</w:t>
      </w:r>
      <w:proofErr w:type="gramEnd"/>
      <w:r w:rsidR="00E61A50" w:rsidRPr="00132AF8">
        <w:rPr>
          <w:rFonts w:ascii="Tahoma" w:hAnsi="Tahoma" w:cs="Tahoma"/>
          <w:bCs/>
          <w:sz w:val="24"/>
          <w:szCs w:val="24"/>
        </w:rPr>
        <w:t xml:space="preserve"> of the </w:t>
      </w:r>
      <w:proofErr w:type="spellStart"/>
      <w:r w:rsidR="00E61A50" w:rsidRPr="00132AF8">
        <w:rPr>
          <w:rFonts w:ascii="Tahoma" w:hAnsi="Tahoma" w:cs="Tahoma"/>
          <w:bCs/>
          <w:sz w:val="24"/>
          <w:szCs w:val="24"/>
        </w:rPr>
        <w:t>Killough</w:t>
      </w:r>
      <w:proofErr w:type="spellEnd"/>
      <w:r w:rsidR="00E61A50" w:rsidRPr="00132AF8">
        <w:rPr>
          <w:rFonts w:ascii="Tahoma" w:hAnsi="Tahoma" w:cs="Tahoma"/>
          <w:bCs/>
          <w:sz w:val="24"/>
          <w:szCs w:val="24"/>
        </w:rPr>
        <w:t xml:space="preserve"> </w:t>
      </w:r>
      <w:r w:rsidR="009C2C97" w:rsidRPr="00132AF8">
        <w:rPr>
          <w:rFonts w:ascii="Tahoma" w:hAnsi="Tahoma" w:cs="Tahoma"/>
          <w:bCs/>
          <w:sz w:val="24"/>
          <w:szCs w:val="24"/>
        </w:rPr>
        <w:t>Road</w:t>
      </w:r>
      <w:r w:rsidR="00051571" w:rsidRPr="00132AF8">
        <w:rPr>
          <w:rFonts w:ascii="Tahoma" w:hAnsi="Tahoma" w:cs="Tahoma"/>
          <w:bCs/>
          <w:sz w:val="24"/>
          <w:szCs w:val="24"/>
        </w:rPr>
        <w:t xml:space="preserve"> (DK14). To date none of </w:t>
      </w:r>
      <w:r w:rsidR="00FC4F53" w:rsidRPr="00132AF8">
        <w:rPr>
          <w:rFonts w:ascii="Tahoma" w:hAnsi="Tahoma" w:cs="Tahoma"/>
          <w:bCs/>
          <w:sz w:val="24"/>
          <w:szCs w:val="24"/>
        </w:rPr>
        <w:t xml:space="preserve">this zoning has been developed and </w:t>
      </w:r>
      <w:r w:rsidR="00051571" w:rsidRPr="00132AF8">
        <w:rPr>
          <w:rFonts w:ascii="Tahoma" w:hAnsi="Tahoma" w:cs="Tahoma"/>
          <w:bCs/>
          <w:sz w:val="24"/>
          <w:szCs w:val="24"/>
        </w:rPr>
        <w:t xml:space="preserve">there are </w:t>
      </w:r>
      <w:proofErr w:type="gramStart"/>
      <w:r w:rsidR="00051571" w:rsidRPr="00132AF8">
        <w:rPr>
          <w:rFonts w:ascii="Tahoma" w:hAnsi="Tahoma" w:cs="Tahoma"/>
          <w:bCs/>
          <w:sz w:val="24"/>
          <w:szCs w:val="24"/>
        </w:rPr>
        <w:t>no extant pl</w:t>
      </w:r>
      <w:r w:rsidR="00FC4F53" w:rsidRPr="00132AF8">
        <w:rPr>
          <w:rFonts w:ascii="Tahoma" w:hAnsi="Tahoma" w:cs="Tahoma"/>
          <w:bCs/>
          <w:sz w:val="24"/>
          <w:szCs w:val="24"/>
        </w:rPr>
        <w:t>anning permissions nor</w:t>
      </w:r>
      <w:proofErr w:type="gramEnd"/>
      <w:r w:rsidR="00FC4F53" w:rsidRPr="00132AF8">
        <w:rPr>
          <w:rFonts w:ascii="Tahoma" w:hAnsi="Tahoma" w:cs="Tahoma"/>
          <w:bCs/>
          <w:sz w:val="24"/>
          <w:szCs w:val="24"/>
        </w:rPr>
        <w:t xml:space="preserve"> </w:t>
      </w:r>
      <w:r w:rsidR="00051571" w:rsidRPr="00132AF8">
        <w:rPr>
          <w:rFonts w:ascii="Tahoma" w:hAnsi="Tahoma" w:cs="Tahoma"/>
          <w:bCs/>
          <w:sz w:val="24"/>
          <w:szCs w:val="24"/>
        </w:rPr>
        <w:t>any applications currently under consideration. To th</w:t>
      </w:r>
      <w:r w:rsidR="00270C9F" w:rsidRPr="00132AF8">
        <w:rPr>
          <w:rFonts w:ascii="Tahoma" w:hAnsi="Tahoma" w:cs="Tahoma"/>
          <w:bCs/>
          <w:sz w:val="24"/>
          <w:szCs w:val="24"/>
        </w:rPr>
        <w:t xml:space="preserve">e east of the </w:t>
      </w:r>
      <w:proofErr w:type="spellStart"/>
      <w:r w:rsidR="00270C9F" w:rsidRPr="00132AF8">
        <w:rPr>
          <w:rFonts w:ascii="Tahoma" w:hAnsi="Tahoma" w:cs="Tahoma"/>
          <w:bCs/>
          <w:sz w:val="24"/>
          <w:szCs w:val="24"/>
        </w:rPr>
        <w:t>Killough</w:t>
      </w:r>
      <w:proofErr w:type="spellEnd"/>
      <w:r w:rsidR="00270C9F" w:rsidRPr="00132AF8">
        <w:rPr>
          <w:rFonts w:ascii="Tahoma" w:hAnsi="Tahoma" w:cs="Tahoma"/>
          <w:bCs/>
          <w:sz w:val="24"/>
          <w:szCs w:val="24"/>
        </w:rPr>
        <w:t xml:space="preserve"> Road are </w:t>
      </w:r>
      <w:r w:rsidR="009C2C97" w:rsidRPr="00132AF8">
        <w:rPr>
          <w:rFonts w:ascii="Tahoma" w:hAnsi="Tahoma" w:cs="Tahoma"/>
          <w:sz w:val="24"/>
          <w:szCs w:val="24"/>
        </w:rPr>
        <w:t>11.8 hectares of zoned ind</w:t>
      </w:r>
      <w:r w:rsidR="00473D3C" w:rsidRPr="00132AF8">
        <w:rPr>
          <w:rFonts w:ascii="Tahoma" w:hAnsi="Tahoma" w:cs="Tahoma"/>
          <w:sz w:val="24"/>
          <w:szCs w:val="24"/>
        </w:rPr>
        <w:t xml:space="preserve">ustrial </w:t>
      </w:r>
      <w:r w:rsidR="00B66920" w:rsidRPr="00132AF8">
        <w:rPr>
          <w:rFonts w:ascii="Tahoma" w:hAnsi="Tahoma" w:cs="Tahoma"/>
          <w:sz w:val="24"/>
          <w:szCs w:val="24"/>
        </w:rPr>
        <w:t>lands</w:t>
      </w:r>
      <w:r w:rsidR="00875B6E" w:rsidRPr="00132AF8">
        <w:rPr>
          <w:rFonts w:ascii="Tahoma" w:hAnsi="Tahoma" w:cs="Tahoma"/>
          <w:sz w:val="24"/>
          <w:szCs w:val="24"/>
        </w:rPr>
        <w:t xml:space="preserve"> </w:t>
      </w:r>
      <w:r w:rsidR="001F0193" w:rsidRPr="00132AF8">
        <w:rPr>
          <w:rFonts w:ascii="Tahoma" w:hAnsi="Tahoma" w:cs="Tahoma"/>
          <w:sz w:val="24"/>
          <w:szCs w:val="24"/>
        </w:rPr>
        <w:t>(DK 15)</w:t>
      </w:r>
      <w:r w:rsidR="00036627" w:rsidRPr="00132AF8">
        <w:rPr>
          <w:rFonts w:ascii="Tahoma" w:hAnsi="Tahoma" w:cs="Tahoma"/>
          <w:sz w:val="24"/>
          <w:szCs w:val="24"/>
        </w:rPr>
        <w:t>.</w:t>
      </w:r>
      <w:r w:rsidR="00051571" w:rsidRPr="00132AF8">
        <w:rPr>
          <w:rFonts w:ascii="Tahoma" w:hAnsi="Tahoma" w:cs="Tahoma"/>
          <w:sz w:val="24"/>
          <w:szCs w:val="24"/>
        </w:rPr>
        <w:t xml:space="preserve"> This </w:t>
      </w:r>
      <w:r w:rsidR="00875B6E" w:rsidRPr="00132AF8">
        <w:rPr>
          <w:rFonts w:ascii="Tahoma" w:hAnsi="Tahoma" w:cs="Tahoma"/>
          <w:sz w:val="24"/>
          <w:szCs w:val="24"/>
        </w:rPr>
        <w:t xml:space="preserve">zoning </w:t>
      </w:r>
      <w:r w:rsidR="00051571" w:rsidRPr="00132AF8">
        <w:rPr>
          <w:rFonts w:ascii="Tahoma" w:hAnsi="Tahoma" w:cs="Tahoma"/>
          <w:sz w:val="24"/>
          <w:szCs w:val="24"/>
        </w:rPr>
        <w:t xml:space="preserve">incorporates the undeveloped lands fronting onto the </w:t>
      </w:r>
      <w:proofErr w:type="spellStart"/>
      <w:r w:rsidR="00051571" w:rsidRPr="00132AF8">
        <w:rPr>
          <w:rFonts w:ascii="Tahoma" w:hAnsi="Tahoma" w:cs="Tahoma"/>
          <w:sz w:val="24"/>
          <w:szCs w:val="24"/>
        </w:rPr>
        <w:t>Killough</w:t>
      </w:r>
      <w:proofErr w:type="spellEnd"/>
      <w:r w:rsidR="00051571" w:rsidRPr="00132AF8">
        <w:rPr>
          <w:rFonts w:ascii="Tahoma" w:hAnsi="Tahoma" w:cs="Tahoma"/>
          <w:sz w:val="24"/>
          <w:szCs w:val="24"/>
        </w:rPr>
        <w:t xml:space="preserve"> Road as well as the </w:t>
      </w:r>
      <w:r w:rsidR="00F40BCF" w:rsidRPr="00132AF8">
        <w:rPr>
          <w:rFonts w:ascii="Tahoma" w:hAnsi="Tahoma" w:cs="Tahoma"/>
          <w:sz w:val="24"/>
          <w:szCs w:val="24"/>
        </w:rPr>
        <w:t xml:space="preserve">established </w:t>
      </w:r>
      <w:proofErr w:type="spellStart"/>
      <w:r w:rsidR="00051571" w:rsidRPr="00132AF8">
        <w:rPr>
          <w:rFonts w:ascii="Tahoma" w:hAnsi="Tahoma" w:cs="Tahoma"/>
          <w:sz w:val="24"/>
          <w:szCs w:val="24"/>
        </w:rPr>
        <w:t>Killough</w:t>
      </w:r>
      <w:proofErr w:type="spellEnd"/>
      <w:r w:rsidR="00051571" w:rsidRPr="00132AF8">
        <w:rPr>
          <w:rFonts w:ascii="Tahoma" w:hAnsi="Tahoma" w:cs="Tahoma"/>
          <w:sz w:val="24"/>
          <w:szCs w:val="24"/>
        </w:rPr>
        <w:t xml:space="preserve"> Road Industrial Estate </w:t>
      </w:r>
      <w:r w:rsidR="00F40BCF" w:rsidRPr="00132AF8">
        <w:rPr>
          <w:rFonts w:ascii="Tahoma" w:hAnsi="Tahoma" w:cs="Tahoma"/>
          <w:sz w:val="24"/>
          <w:szCs w:val="24"/>
        </w:rPr>
        <w:t xml:space="preserve">owned by Invest NI. </w:t>
      </w:r>
      <w:r w:rsidR="00473D3C" w:rsidRPr="00132AF8">
        <w:rPr>
          <w:rFonts w:ascii="Tahoma" w:hAnsi="Tahoma" w:cs="Tahoma"/>
          <w:sz w:val="24"/>
          <w:szCs w:val="24"/>
        </w:rPr>
        <w:t xml:space="preserve">Currently </w:t>
      </w:r>
      <w:r w:rsidR="00753D05" w:rsidRPr="00132AF8">
        <w:rPr>
          <w:rFonts w:ascii="Tahoma" w:hAnsi="Tahoma" w:cs="Tahoma"/>
          <w:sz w:val="24"/>
          <w:szCs w:val="24"/>
        </w:rPr>
        <w:t>9.18</w:t>
      </w:r>
      <w:r w:rsidR="00473D3C" w:rsidRPr="00132AF8">
        <w:rPr>
          <w:rFonts w:ascii="Tahoma" w:hAnsi="Tahoma" w:cs="Tahoma"/>
          <w:sz w:val="24"/>
          <w:szCs w:val="24"/>
        </w:rPr>
        <w:t xml:space="preserve"> hectares of the </w:t>
      </w:r>
      <w:r w:rsidR="00875B6E" w:rsidRPr="00132AF8">
        <w:rPr>
          <w:rFonts w:ascii="Tahoma" w:hAnsi="Tahoma" w:cs="Tahoma"/>
          <w:sz w:val="24"/>
          <w:szCs w:val="24"/>
        </w:rPr>
        <w:t>land remain</w:t>
      </w:r>
      <w:r w:rsidR="00610AE9" w:rsidRPr="00132AF8">
        <w:rPr>
          <w:rFonts w:ascii="Tahoma" w:hAnsi="Tahoma" w:cs="Tahoma"/>
          <w:sz w:val="24"/>
          <w:szCs w:val="24"/>
        </w:rPr>
        <w:t>s</w:t>
      </w:r>
      <w:r w:rsidR="00473D3C" w:rsidRPr="00132AF8">
        <w:rPr>
          <w:rFonts w:ascii="Tahoma" w:hAnsi="Tahoma" w:cs="Tahoma"/>
          <w:sz w:val="24"/>
          <w:szCs w:val="24"/>
        </w:rPr>
        <w:t xml:space="preserve"> undeveloped</w:t>
      </w:r>
      <w:r w:rsidR="00610AE9" w:rsidRPr="00132AF8">
        <w:rPr>
          <w:rFonts w:ascii="Tahoma" w:hAnsi="Tahoma" w:cs="Tahoma"/>
          <w:sz w:val="24"/>
          <w:szCs w:val="24"/>
        </w:rPr>
        <w:t xml:space="preserve"> within zoning DK 15.</w:t>
      </w:r>
      <w:r w:rsidR="00473D3C" w:rsidRPr="00132AF8">
        <w:rPr>
          <w:rFonts w:ascii="Tahoma" w:hAnsi="Tahoma" w:cs="Tahoma"/>
          <w:sz w:val="24"/>
          <w:szCs w:val="24"/>
        </w:rPr>
        <w:t xml:space="preserve">  </w:t>
      </w:r>
    </w:p>
    <w:p w:rsidR="00270C9F" w:rsidRPr="00132AF8" w:rsidRDefault="00270C9F" w:rsidP="00185000">
      <w:pPr>
        <w:autoSpaceDE w:val="0"/>
        <w:autoSpaceDN w:val="0"/>
        <w:adjustRightInd w:val="0"/>
        <w:spacing w:after="0" w:line="240" w:lineRule="auto"/>
        <w:jc w:val="both"/>
        <w:rPr>
          <w:rFonts w:ascii="Tahoma" w:hAnsi="Tahoma" w:cs="Tahoma"/>
          <w:sz w:val="24"/>
          <w:szCs w:val="24"/>
        </w:rPr>
      </w:pPr>
    </w:p>
    <w:p w:rsidR="00B94C4F" w:rsidRPr="00132AF8" w:rsidRDefault="00313304" w:rsidP="00185000">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.27</w:t>
      </w:r>
      <w:r w:rsidR="00270C9F" w:rsidRPr="00132AF8">
        <w:rPr>
          <w:rFonts w:ascii="Tahoma" w:hAnsi="Tahoma" w:cs="Tahoma"/>
          <w:sz w:val="24"/>
          <w:szCs w:val="24"/>
        </w:rPr>
        <w:t xml:space="preserve"> </w:t>
      </w:r>
      <w:r w:rsidR="003F2672">
        <w:rPr>
          <w:rFonts w:ascii="Tahoma" w:hAnsi="Tahoma" w:cs="Tahoma"/>
          <w:sz w:val="24"/>
          <w:szCs w:val="24"/>
        </w:rPr>
        <w:tab/>
      </w:r>
      <w:r w:rsidR="00610AE9" w:rsidRPr="00132AF8">
        <w:rPr>
          <w:rFonts w:ascii="Tahoma" w:hAnsi="Tahoma" w:cs="Tahoma"/>
          <w:sz w:val="24"/>
          <w:szCs w:val="24"/>
        </w:rPr>
        <w:t xml:space="preserve">The ADAP </w:t>
      </w:r>
      <w:r w:rsidR="00875B6E" w:rsidRPr="00132AF8">
        <w:rPr>
          <w:rFonts w:ascii="Tahoma" w:hAnsi="Tahoma" w:cs="Tahoma"/>
          <w:sz w:val="24"/>
          <w:szCs w:val="24"/>
        </w:rPr>
        <w:t xml:space="preserve">also identified </w:t>
      </w:r>
      <w:r w:rsidR="00473D3C" w:rsidRPr="00132AF8">
        <w:rPr>
          <w:rFonts w:ascii="Tahoma" w:hAnsi="Tahoma" w:cs="Tahoma"/>
          <w:sz w:val="24"/>
          <w:szCs w:val="24"/>
        </w:rPr>
        <w:t>Invest NI</w:t>
      </w:r>
      <w:r w:rsidR="00270C9F" w:rsidRPr="00132AF8">
        <w:rPr>
          <w:rFonts w:ascii="Tahoma" w:hAnsi="Tahoma" w:cs="Tahoma"/>
          <w:sz w:val="24"/>
          <w:szCs w:val="24"/>
        </w:rPr>
        <w:t xml:space="preserve">’s industrial estate </w:t>
      </w:r>
      <w:r w:rsidR="00610AE9" w:rsidRPr="00132AF8">
        <w:rPr>
          <w:rFonts w:ascii="Tahoma" w:hAnsi="Tahoma" w:cs="Tahoma"/>
          <w:sz w:val="24"/>
          <w:szCs w:val="24"/>
        </w:rPr>
        <w:t xml:space="preserve">located outside the Downpatrick settlement limit </w:t>
      </w:r>
      <w:r w:rsidR="00270C9F" w:rsidRPr="00132AF8">
        <w:rPr>
          <w:rFonts w:ascii="Tahoma" w:hAnsi="Tahoma" w:cs="Tahoma"/>
          <w:sz w:val="24"/>
          <w:szCs w:val="24"/>
        </w:rPr>
        <w:t>on th</w:t>
      </w:r>
      <w:r w:rsidR="00610AE9" w:rsidRPr="00132AF8">
        <w:rPr>
          <w:rFonts w:ascii="Tahoma" w:hAnsi="Tahoma" w:cs="Tahoma"/>
          <w:sz w:val="24"/>
          <w:szCs w:val="24"/>
        </w:rPr>
        <w:t xml:space="preserve">e A7 Belfast to </w:t>
      </w:r>
      <w:proofErr w:type="spellStart"/>
      <w:r w:rsidR="00610AE9" w:rsidRPr="00132AF8">
        <w:rPr>
          <w:rFonts w:ascii="Tahoma" w:hAnsi="Tahoma" w:cs="Tahoma"/>
          <w:sz w:val="24"/>
          <w:szCs w:val="24"/>
        </w:rPr>
        <w:t>Downptatrick</w:t>
      </w:r>
      <w:proofErr w:type="spellEnd"/>
      <w:r w:rsidR="00610AE9" w:rsidRPr="00132AF8">
        <w:rPr>
          <w:rFonts w:ascii="Tahoma" w:hAnsi="Tahoma" w:cs="Tahoma"/>
          <w:sz w:val="24"/>
          <w:szCs w:val="24"/>
        </w:rPr>
        <w:t xml:space="preserve"> Link Corridor</w:t>
      </w:r>
      <w:r w:rsidR="0016290A" w:rsidRPr="00132AF8">
        <w:rPr>
          <w:rFonts w:ascii="Tahoma" w:hAnsi="Tahoma" w:cs="Tahoma"/>
          <w:sz w:val="24"/>
          <w:szCs w:val="24"/>
        </w:rPr>
        <w:t xml:space="preserve"> (Down Business Park)</w:t>
      </w:r>
      <w:r w:rsidR="00610AE9" w:rsidRPr="00132AF8">
        <w:rPr>
          <w:rFonts w:ascii="Tahoma" w:hAnsi="Tahoma" w:cs="Tahoma"/>
          <w:sz w:val="24"/>
          <w:szCs w:val="24"/>
        </w:rPr>
        <w:t xml:space="preserve">. At the time of adoption, August 2009, some 19.83 hectares of </w:t>
      </w:r>
      <w:r w:rsidR="00270C9F" w:rsidRPr="00132AF8">
        <w:rPr>
          <w:rFonts w:ascii="Tahoma" w:hAnsi="Tahoma" w:cs="Tahoma"/>
          <w:sz w:val="24"/>
          <w:szCs w:val="24"/>
        </w:rPr>
        <w:t xml:space="preserve">land </w:t>
      </w:r>
      <w:r w:rsidR="00610AE9" w:rsidRPr="00132AF8">
        <w:rPr>
          <w:rFonts w:ascii="Tahoma" w:hAnsi="Tahoma" w:cs="Tahoma"/>
          <w:sz w:val="24"/>
          <w:szCs w:val="24"/>
        </w:rPr>
        <w:t xml:space="preserve">remained to be developed </w:t>
      </w:r>
      <w:r w:rsidR="00270C9F" w:rsidRPr="00132AF8">
        <w:rPr>
          <w:rFonts w:ascii="Tahoma" w:hAnsi="Tahoma" w:cs="Tahoma"/>
          <w:sz w:val="24"/>
          <w:szCs w:val="24"/>
        </w:rPr>
        <w:t>(proposal COU12)</w:t>
      </w:r>
      <w:r w:rsidR="00610AE9" w:rsidRPr="00132AF8">
        <w:rPr>
          <w:rFonts w:ascii="Tahoma" w:hAnsi="Tahoma" w:cs="Tahoma"/>
          <w:sz w:val="24"/>
          <w:szCs w:val="24"/>
        </w:rPr>
        <w:t>.</w:t>
      </w:r>
      <w:r w:rsidR="00270C9F" w:rsidRPr="00132AF8">
        <w:rPr>
          <w:rFonts w:ascii="Tahoma" w:hAnsi="Tahoma" w:cs="Tahoma"/>
          <w:sz w:val="24"/>
          <w:szCs w:val="24"/>
        </w:rPr>
        <w:t xml:space="preserve"> Invest NI have indicated that</w:t>
      </w:r>
      <w:r w:rsidR="00473D3C" w:rsidRPr="00132AF8">
        <w:rPr>
          <w:rFonts w:ascii="Tahoma" w:hAnsi="Tahoma" w:cs="Tahoma"/>
          <w:sz w:val="24"/>
          <w:szCs w:val="24"/>
        </w:rPr>
        <w:t xml:space="preserve"> </w:t>
      </w:r>
      <w:r w:rsidR="007E7E4E" w:rsidRPr="00132AF8">
        <w:rPr>
          <w:rFonts w:ascii="Tahoma" w:hAnsi="Tahoma" w:cs="Tahoma"/>
          <w:sz w:val="24"/>
          <w:szCs w:val="24"/>
        </w:rPr>
        <w:t xml:space="preserve">as of May 2015 </w:t>
      </w:r>
      <w:r w:rsidR="00B837A3" w:rsidRPr="00132AF8">
        <w:rPr>
          <w:rFonts w:ascii="Tahoma" w:hAnsi="Tahoma" w:cs="Tahoma"/>
          <w:sz w:val="24"/>
          <w:szCs w:val="24"/>
        </w:rPr>
        <w:t>10.64</w:t>
      </w:r>
      <w:r w:rsidR="00473D3C" w:rsidRPr="00132AF8">
        <w:rPr>
          <w:rFonts w:ascii="Tahoma" w:hAnsi="Tahoma" w:cs="Tahoma"/>
          <w:sz w:val="24"/>
          <w:szCs w:val="24"/>
        </w:rPr>
        <w:t xml:space="preserve"> hectare</w:t>
      </w:r>
      <w:r w:rsidR="00B837A3" w:rsidRPr="00132AF8">
        <w:rPr>
          <w:rFonts w:ascii="Tahoma" w:hAnsi="Tahoma" w:cs="Tahoma"/>
          <w:sz w:val="24"/>
          <w:szCs w:val="24"/>
        </w:rPr>
        <w:t>s</w:t>
      </w:r>
      <w:r w:rsidR="007E7E4E" w:rsidRPr="00132AF8">
        <w:rPr>
          <w:rFonts w:ascii="Tahoma" w:hAnsi="Tahoma" w:cs="Tahoma"/>
          <w:sz w:val="24"/>
          <w:szCs w:val="24"/>
        </w:rPr>
        <w:t xml:space="preserve"> of the site remains for</w:t>
      </w:r>
      <w:r w:rsidR="00E4107A" w:rsidRPr="00132AF8">
        <w:rPr>
          <w:rFonts w:ascii="Tahoma" w:hAnsi="Tahoma" w:cs="Tahoma"/>
          <w:sz w:val="24"/>
          <w:szCs w:val="24"/>
        </w:rPr>
        <w:t xml:space="preserve"> future development</w:t>
      </w:r>
      <w:r w:rsidR="00396C4C" w:rsidRPr="00132AF8">
        <w:rPr>
          <w:rFonts w:ascii="Tahoma" w:hAnsi="Tahoma" w:cs="Tahoma"/>
          <w:sz w:val="24"/>
          <w:szCs w:val="24"/>
        </w:rPr>
        <w:t xml:space="preserve">. </w:t>
      </w:r>
      <w:r w:rsidR="007E7E4E" w:rsidRPr="00132AF8">
        <w:rPr>
          <w:rFonts w:ascii="Tahoma" w:hAnsi="Tahoma" w:cs="Tahoma"/>
          <w:sz w:val="24"/>
          <w:szCs w:val="24"/>
        </w:rPr>
        <w:t>Survey of the site undertaken in May 2015</w:t>
      </w:r>
      <w:r w:rsidR="00FF7ABB" w:rsidRPr="00132AF8">
        <w:rPr>
          <w:rFonts w:ascii="Tahoma" w:hAnsi="Tahoma" w:cs="Tahoma"/>
          <w:sz w:val="24"/>
          <w:szCs w:val="24"/>
        </w:rPr>
        <w:t xml:space="preserve"> by the </w:t>
      </w:r>
      <w:r w:rsidR="00BC4A23" w:rsidRPr="00132AF8">
        <w:rPr>
          <w:rFonts w:ascii="Tahoma" w:hAnsi="Tahoma" w:cs="Tahoma"/>
          <w:sz w:val="24"/>
          <w:szCs w:val="24"/>
        </w:rPr>
        <w:t xml:space="preserve">Plan </w:t>
      </w:r>
      <w:proofErr w:type="gramStart"/>
      <w:r w:rsidR="00BC4A23" w:rsidRPr="00132AF8">
        <w:rPr>
          <w:rFonts w:ascii="Tahoma" w:hAnsi="Tahoma" w:cs="Tahoma"/>
          <w:sz w:val="24"/>
          <w:szCs w:val="24"/>
        </w:rPr>
        <w:t xml:space="preserve">Team </w:t>
      </w:r>
      <w:r w:rsidR="007E7E4E" w:rsidRPr="00132AF8">
        <w:rPr>
          <w:rFonts w:ascii="Tahoma" w:hAnsi="Tahoma" w:cs="Tahoma"/>
          <w:sz w:val="24"/>
          <w:szCs w:val="24"/>
        </w:rPr>
        <w:t xml:space="preserve"> indicates</w:t>
      </w:r>
      <w:proofErr w:type="gramEnd"/>
      <w:r w:rsidR="007E7E4E" w:rsidRPr="00132AF8">
        <w:rPr>
          <w:rFonts w:ascii="Tahoma" w:hAnsi="Tahoma" w:cs="Tahoma"/>
          <w:sz w:val="24"/>
          <w:szCs w:val="24"/>
        </w:rPr>
        <w:t xml:space="preserve"> that whilst a further 9.87</w:t>
      </w:r>
      <w:r w:rsidR="00610AE9" w:rsidRPr="00132AF8">
        <w:rPr>
          <w:rFonts w:ascii="Tahoma" w:hAnsi="Tahoma" w:cs="Tahoma"/>
          <w:sz w:val="24"/>
          <w:szCs w:val="24"/>
        </w:rPr>
        <w:t xml:space="preserve"> hectares</w:t>
      </w:r>
      <w:r w:rsidR="00396C4C" w:rsidRPr="00132AF8">
        <w:rPr>
          <w:rFonts w:ascii="Tahoma" w:hAnsi="Tahoma" w:cs="Tahoma"/>
          <w:sz w:val="24"/>
          <w:szCs w:val="24"/>
        </w:rPr>
        <w:t xml:space="preserve"> rem</w:t>
      </w:r>
      <w:r w:rsidR="00610AE9" w:rsidRPr="00132AF8">
        <w:rPr>
          <w:rFonts w:ascii="Tahoma" w:hAnsi="Tahoma" w:cs="Tahoma"/>
          <w:sz w:val="24"/>
          <w:szCs w:val="24"/>
        </w:rPr>
        <w:t>ain</w:t>
      </w:r>
      <w:r w:rsidR="007E7E4E" w:rsidRPr="00132AF8">
        <w:rPr>
          <w:rFonts w:ascii="Tahoma" w:hAnsi="Tahoma" w:cs="Tahoma"/>
          <w:sz w:val="24"/>
          <w:szCs w:val="24"/>
        </w:rPr>
        <w:t>s undeveloped</w:t>
      </w:r>
      <w:r w:rsidR="00610AE9" w:rsidRPr="00132AF8">
        <w:rPr>
          <w:rFonts w:ascii="Tahoma" w:hAnsi="Tahoma" w:cs="Tahoma"/>
          <w:sz w:val="24"/>
          <w:szCs w:val="24"/>
        </w:rPr>
        <w:t xml:space="preserve">, </w:t>
      </w:r>
      <w:r w:rsidR="00FF7ABB" w:rsidRPr="00132AF8">
        <w:rPr>
          <w:rFonts w:ascii="Tahoma" w:hAnsi="Tahoma" w:cs="Tahoma"/>
          <w:sz w:val="24"/>
          <w:szCs w:val="24"/>
        </w:rPr>
        <w:t>this remainder</w:t>
      </w:r>
      <w:r w:rsidR="00610AE9" w:rsidRPr="00132AF8">
        <w:rPr>
          <w:rFonts w:ascii="Tahoma" w:hAnsi="Tahoma" w:cs="Tahoma"/>
          <w:sz w:val="24"/>
          <w:szCs w:val="24"/>
        </w:rPr>
        <w:t xml:space="preserve"> may have limited or no development potential due to the topography, </w:t>
      </w:r>
      <w:r w:rsidR="0000581F" w:rsidRPr="00132AF8">
        <w:rPr>
          <w:rFonts w:ascii="Tahoma" w:hAnsi="Tahoma" w:cs="Tahoma"/>
          <w:sz w:val="24"/>
          <w:szCs w:val="24"/>
        </w:rPr>
        <w:t>and/or ground conditions</w:t>
      </w:r>
      <w:r w:rsidR="00396C4C" w:rsidRPr="00132AF8">
        <w:rPr>
          <w:rFonts w:ascii="Tahoma" w:hAnsi="Tahoma" w:cs="Tahoma"/>
          <w:sz w:val="24"/>
          <w:szCs w:val="24"/>
        </w:rPr>
        <w:t>.</w:t>
      </w:r>
    </w:p>
    <w:p w:rsidR="00270C9F" w:rsidRPr="00132AF8" w:rsidRDefault="00270C9F" w:rsidP="00B94C4F">
      <w:pPr>
        <w:autoSpaceDE w:val="0"/>
        <w:autoSpaceDN w:val="0"/>
        <w:adjustRightInd w:val="0"/>
        <w:spacing w:after="0" w:line="240" w:lineRule="auto"/>
        <w:rPr>
          <w:rFonts w:ascii="Tahoma" w:hAnsi="Tahoma" w:cs="Tahoma"/>
          <w:b/>
          <w:sz w:val="24"/>
          <w:szCs w:val="24"/>
        </w:rPr>
      </w:pPr>
      <w:proofErr w:type="spellStart"/>
      <w:r w:rsidRPr="00132AF8">
        <w:rPr>
          <w:rFonts w:ascii="Tahoma" w:hAnsi="Tahoma" w:cs="Tahoma"/>
          <w:b/>
          <w:sz w:val="24"/>
          <w:szCs w:val="24"/>
        </w:rPr>
        <w:lastRenderedPageBreak/>
        <w:t>Ballynahinch</w:t>
      </w:r>
      <w:proofErr w:type="spellEnd"/>
    </w:p>
    <w:p w:rsidR="00270C9F" w:rsidRPr="00132AF8" w:rsidRDefault="00270C9F" w:rsidP="00B94C4F">
      <w:pPr>
        <w:autoSpaceDE w:val="0"/>
        <w:autoSpaceDN w:val="0"/>
        <w:adjustRightInd w:val="0"/>
        <w:spacing w:after="0" w:line="240" w:lineRule="auto"/>
        <w:rPr>
          <w:rFonts w:ascii="Tahoma" w:hAnsi="Tahoma" w:cs="Tahoma"/>
          <w:b/>
          <w:sz w:val="24"/>
          <w:szCs w:val="24"/>
        </w:rPr>
      </w:pPr>
    </w:p>
    <w:p w:rsidR="00473D3C" w:rsidRPr="00132AF8" w:rsidRDefault="00313304" w:rsidP="00185000">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.28</w:t>
      </w:r>
      <w:r w:rsidR="004948FA" w:rsidRPr="00132AF8">
        <w:rPr>
          <w:rFonts w:ascii="Tahoma" w:hAnsi="Tahoma" w:cs="Tahoma"/>
          <w:sz w:val="24"/>
          <w:szCs w:val="24"/>
        </w:rPr>
        <w:t xml:space="preserve"> </w:t>
      </w:r>
      <w:r w:rsidR="003F2672">
        <w:rPr>
          <w:rFonts w:ascii="Tahoma" w:hAnsi="Tahoma" w:cs="Tahoma"/>
          <w:sz w:val="24"/>
          <w:szCs w:val="24"/>
        </w:rPr>
        <w:tab/>
      </w:r>
      <w:r w:rsidR="004948FA" w:rsidRPr="00132AF8">
        <w:rPr>
          <w:rFonts w:ascii="Tahoma" w:hAnsi="Tahoma" w:cs="Tahoma"/>
          <w:sz w:val="24"/>
          <w:szCs w:val="24"/>
        </w:rPr>
        <w:t xml:space="preserve">In </w:t>
      </w:r>
      <w:proofErr w:type="spellStart"/>
      <w:r w:rsidR="004948FA" w:rsidRPr="00132AF8">
        <w:rPr>
          <w:rFonts w:ascii="Tahoma" w:hAnsi="Tahoma" w:cs="Tahoma"/>
          <w:sz w:val="24"/>
          <w:szCs w:val="24"/>
        </w:rPr>
        <w:t>Ballynahinch</w:t>
      </w:r>
      <w:proofErr w:type="spellEnd"/>
      <w:r w:rsidR="004948FA" w:rsidRPr="00132AF8">
        <w:rPr>
          <w:rFonts w:ascii="Tahoma" w:hAnsi="Tahoma" w:cs="Tahoma"/>
          <w:sz w:val="24"/>
          <w:szCs w:val="24"/>
        </w:rPr>
        <w:t xml:space="preserve"> 5.05 hectares were zoned at the Old Belfast Road</w:t>
      </w:r>
      <w:r w:rsidR="00D60A38" w:rsidRPr="00132AF8">
        <w:rPr>
          <w:rFonts w:ascii="Tahoma" w:hAnsi="Tahoma" w:cs="Tahoma"/>
          <w:sz w:val="24"/>
          <w:szCs w:val="24"/>
        </w:rPr>
        <w:t xml:space="preserve"> (BH17)</w:t>
      </w:r>
      <w:r w:rsidR="004948FA" w:rsidRPr="00132AF8">
        <w:rPr>
          <w:rFonts w:ascii="Tahoma" w:hAnsi="Tahoma" w:cs="Tahoma"/>
          <w:sz w:val="24"/>
          <w:szCs w:val="24"/>
        </w:rPr>
        <w:t xml:space="preserve">. This site is well placed in relation to the strategic road network, the proposed </w:t>
      </w:r>
      <w:proofErr w:type="spellStart"/>
      <w:r w:rsidR="004948FA" w:rsidRPr="00132AF8">
        <w:rPr>
          <w:rFonts w:ascii="Tahoma" w:hAnsi="Tahoma" w:cs="Tahoma"/>
          <w:sz w:val="24"/>
          <w:szCs w:val="24"/>
        </w:rPr>
        <w:t>Ballynahinch</w:t>
      </w:r>
      <w:proofErr w:type="spellEnd"/>
      <w:r w:rsidR="004948FA" w:rsidRPr="00132AF8">
        <w:rPr>
          <w:rFonts w:ascii="Tahoma" w:hAnsi="Tahoma" w:cs="Tahoma"/>
          <w:sz w:val="24"/>
          <w:szCs w:val="24"/>
        </w:rPr>
        <w:t xml:space="preserve"> bypass</w:t>
      </w:r>
      <w:r w:rsidR="004948FA" w:rsidRPr="00132AF8">
        <w:rPr>
          <w:rStyle w:val="FootnoteReference"/>
          <w:rFonts w:ascii="Tahoma" w:hAnsi="Tahoma" w:cs="Tahoma"/>
          <w:sz w:val="24"/>
          <w:szCs w:val="24"/>
        </w:rPr>
        <w:footnoteReference w:id="28"/>
      </w:r>
      <w:proofErr w:type="gramStart"/>
      <w:r w:rsidR="004948FA" w:rsidRPr="00132AF8">
        <w:rPr>
          <w:rFonts w:ascii="Tahoma" w:hAnsi="Tahoma" w:cs="Tahoma"/>
          <w:sz w:val="24"/>
          <w:szCs w:val="24"/>
        </w:rPr>
        <w:t>,and</w:t>
      </w:r>
      <w:proofErr w:type="gramEnd"/>
      <w:r w:rsidR="004948FA" w:rsidRPr="00132AF8">
        <w:rPr>
          <w:rFonts w:ascii="Tahoma" w:hAnsi="Tahoma" w:cs="Tahoma"/>
          <w:sz w:val="24"/>
          <w:szCs w:val="24"/>
        </w:rPr>
        <w:t xml:space="preserve"> the proposed park and ride/park and share site adjacent to the Belfast Road, outside </w:t>
      </w:r>
      <w:r w:rsidR="0000581F" w:rsidRPr="00132AF8">
        <w:rPr>
          <w:rFonts w:ascii="Tahoma" w:hAnsi="Tahoma" w:cs="Tahoma"/>
          <w:sz w:val="24"/>
          <w:szCs w:val="24"/>
        </w:rPr>
        <w:t xml:space="preserve">the settlement limit. To date none of the site has been </w:t>
      </w:r>
      <w:r w:rsidR="004948FA" w:rsidRPr="00132AF8">
        <w:rPr>
          <w:rFonts w:ascii="Tahoma" w:hAnsi="Tahoma" w:cs="Tahoma"/>
          <w:sz w:val="24"/>
          <w:szCs w:val="24"/>
        </w:rPr>
        <w:t>developed</w:t>
      </w:r>
      <w:r w:rsidR="00D52DED" w:rsidRPr="00132AF8">
        <w:rPr>
          <w:rFonts w:ascii="Tahoma" w:hAnsi="Tahoma" w:cs="Tahoma"/>
          <w:sz w:val="24"/>
          <w:szCs w:val="24"/>
        </w:rPr>
        <w:t>.</w:t>
      </w:r>
    </w:p>
    <w:p w:rsidR="00D712D4" w:rsidRPr="00132AF8" w:rsidRDefault="00D712D4" w:rsidP="00B94C4F">
      <w:pPr>
        <w:autoSpaceDE w:val="0"/>
        <w:autoSpaceDN w:val="0"/>
        <w:adjustRightInd w:val="0"/>
        <w:spacing w:after="0" w:line="240" w:lineRule="auto"/>
        <w:rPr>
          <w:rFonts w:ascii="Tahoma" w:hAnsi="Tahoma" w:cs="Tahoma"/>
          <w:sz w:val="24"/>
          <w:szCs w:val="24"/>
        </w:rPr>
      </w:pPr>
    </w:p>
    <w:p w:rsidR="00270C9F" w:rsidRPr="00132AF8" w:rsidRDefault="00270C9F" w:rsidP="00B94C4F">
      <w:pPr>
        <w:autoSpaceDE w:val="0"/>
        <w:autoSpaceDN w:val="0"/>
        <w:adjustRightInd w:val="0"/>
        <w:spacing w:after="0" w:line="240" w:lineRule="auto"/>
        <w:rPr>
          <w:rFonts w:ascii="Tahoma" w:hAnsi="Tahoma" w:cs="Tahoma"/>
          <w:b/>
          <w:sz w:val="24"/>
          <w:szCs w:val="24"/>
        </w:rPr>
      </w:pPr>
      <w:r w:rsidRPr="00132AF8">
        <w:rPr>
          <w:rFonts w:ascii="Tahoma" w:hAnsi="Tahoma" w:cs="Tahoma"/>
          <w:b/>
          <w:sz w:val="24"/>
          <w:szCs w:val="24"/>
        </w:rPr>
        <w:t>Newcastle</w:t>
      </w:r>
    </w:p>
    <w:p w:rsidR="00270C9F" w:rsidRPr="00132AF8" w:rsidRDefault="00270C9F" w:rsidP="00B94C4F">
      <w:pPr>
        <w:autoSpaceDE w:val="0"/>
        <w:autoSpaceDN w:val="0"/>
        <w:adjustRightInd w:val="0"/>
        <w:spacing w:after="0" w:line="240" w:lineRule="auto"/>
        <w:rPr>
          <w:rFonts w:ascii="Tahoma" w:hAnsi="Tahoma" w:cs="Tahoma"/>
          <w:b/>
          <w:sz w:val="24"/>
          <w:szCs w:val="24"/>
        </w:rPr>
      </w:pPr>
    </w:p>
    <w:p w:rsidR="00D712D4" w:rsidRPr="00132AF8" w:rsidRDefault="00313304" w:rsidP="00185000">
      <w:pPr>
        <w:autoSpaceDE w:val="0"/>
        <w:autoSpaceDN w:val="0"/>
        <w:adjustRightInd w:val="0"/>
        <w:spacing w:after="0" w:line="240" w:lineRule="auto"/>
        <w:jc w:val="both"/>
        <w:rPr>
          <w:rFonts w:ascii="Tahoma" w:hAnsi="Tahoma" w:cs="Tahoma"/>
          <w:sz w:val="24"/>
          <w:szCs w:val="24"/>
        </w:rPr>
      </w:pPr>
      <w:r w:rsidRPr="00132AF8">
        <w:rPr>
          <w:rFonts w:ascii="Tahoma" w:hAnsi="Tahoma" w:cs="Tahoma"/>
          <w:b/>
          <w:sz w:val="24"/>
          <w:szCs w:val="24"/>
        </w:rPr>
        <w:t>6</w:t>
      </w:r>
      <w:r w:rsidR="001120ED" w:rsidRPr="00132AF8">
        <w:rPr>
          <w:rFonts w:ascii="Tahoma" w:hAnsi="Tahoma" w:cs="Tahoma"/>
          <w:b/>
          <w:sz w:val="24"/>
          <w:szCs w:val="24"/>
        </w:rPr>
        <w:t>.29</w:t>
      </w:r>
      <w:r w:rsidR="00CC06A7" w:rsidRPr="00132AF8">
        <w:rPr>
          <w:rFonts w:ascii="Tahoma" w:hAnsi="Tahoma" w:cs="Tahoma"/>
          <w:sz w:val="24"/>
          <w:szCs w:val="24"/>
        </w:rPr>
        <w:t xml:space="preserve"> </w:t>
      </w:r>
      <w:r w:rsidR="003F2672">
        <w:rPr>
          <w:rFonts w:ascii="Tahoma" w:hAnsi="Tahoma" w:cs="Tahoma"/>
          <w:sz w:val="24"/>
          <w:szCs w:val="24"/>
        </w:rPr>
        <w:tab/>
      </w:r>
      <w:r w:rsidR="00D712D4" w:rsidRPr="00132AF8">
        <w:rPr>
          <w:rFonts w:ascii="Tahoma" w:hAnsi="Tahoma" w:cs="Tahoma"/>
          <w:sz w:val="24"/>
          <w:szCs w:val="24"/>
        </w:rPr>
        <w:t xml:space="preserve">In Newcastle 0.33 hectares of industrial land are zoned for industrial use adjacent to </w:t>
      </w:r>
      <w:proofErr w:type="spellStart"/>
      <w:r w:rsidR="00D712D4" w:rsidRPr="00132AF8">
        <w:rPr>
          <w:rFonts w:ascii="Tahoma" w:hAnsi="Tahoma" w:cs="Tahoma"/>
          <w:sz w:val="24"/>
          <w:szCs w:val="24"/>
        </w:rPr>
        <w:t>Mourne</w:t>
      </w:r>
      <w:proofErr w:type="spellEnd"/>
      <w:r w:rsidR="00D712D4" w:rsidRPr="00132AF8">
        <w:rPr>
          <w:rFonts w:ascii="Tahoma" w:hAnsi="Tahoma" w:cs="Tahoma"/>
          <w:sz w:val="24"/>
          <w:szCs w:val="24"/>
        </w:rPr>
        <w:t xml:space="preserve"> View Avenue</w:t>
      </w:r>
      <w:r w:rsidR="00E61A50" w:rsidRPr="00132AF8">
        <w:rPr>
          <w:rFonts w:ascii="Tahoma" w:hAnsi="Tahoma" w:cs="Tahoma"/>
          <w:sz w:val="24"/>
          <w:szCs w:val="24"/>
        </w:rPr>
        <w:t xml:space="preserve"> (Zoning NE15)</w:t>
      </w:r>
      <w:r w:rsidR="00D712D4" w:rsidRPr="00132AF8">
        <w:rPr>
          <w:rFonts w:ascii="Tahoma" w:hAnsi="Tahoma" w:cs="Tahoma"/>
          <w:sz w:val="24"/>
          <w:szCs w:val="24"/>
        </w:rPr>
        <w:t>.</w:t>
      </w:r>
      <w:r w:rsidR="009236B2" w:rsidRPr="00132AF8">
        <w:rPr>
          <w:rFonts w:ascii="Tahoma" w:hAnsi="Tahoma" w:cs="Tahoma"/>
          <w:sz w:val="24"/>
          <w:szCs w:val="24"/>
        </w:rPr>
        <w:t xml:space="preserve"> </w:t>
      </w:r>
      <w:r w:rsidR="00036627" w:rsidRPr="00132AF8">
        <w:rPr>
          <w:rFonts w:ascii="Tahoma" w:hAnsi="Tahoma" w:cs="Tahoma"/>
          <w:sz w:val="24"/>
          <w:szCs w:val="24"/>
        </w:rPr>
        <w:t xml:space="preserve">Permission was granted for </w:t>
      </w:r>
      <w:r w:rsidR="00B27BDE" w:rsidRPr="00132AF8">
        <w:rPr>
          <w:rFonts w:ascii="Tahoma" w:hAnsi="Tahoma" w:cs="Tahoma"/>
          <w:sz w:val="24"/>
          <w:szCs w:val="24"/>
        </w:rPr>
        <w:t xml:space="preserve">four industrial units within a single portal framed building in 2001. The site is now fully developed. </w:t>
      </w:r>
      <w:r w:rsidR="00036627" w:rsidRPr="00132AF8">
        <w:rPr>
          <w:rFonts w:ascii="Tahoma" w:hAnsi="Tahoma" w:cs="Tahoma"/>
          <w:sz w:val="24"/>
          <w:szCs w:val="24"/>
        </w:rPr>
        <w:t xml:space="preserve"> </w:t>
      </w:r>
      <w:r w:rsidR="009236B2" w:rsidRPr="00132AF8">
        <w:rPr>
          <w:rFonts w:ascii="Tahoma" w:hAnsi="Tahoma" w:cs="Tahoma"/>
          <w:sz w:val="24"/>
          <w:szCs w:val="24"/>
        </w:rPr>
        <w:t>Employment within Newcastle is predominantly within the service sector consequently the demand for industria</w:t>
      </w:r>
      <w:r w:rsidR="00B27BDE" w:rsidRPr="00132AF8">
        <w:rPr>
          <w:rFonts w:ascii="Tahoma" w:hAnsi="Tahoma" w:cs="Tahoma"/>
          <w:sz w:val="24"/>
          <w:szCs w:val="24"/>
        </w:rPr>
        <w:t>l lands within the town has historically been</w:t>
      </w:r>
      <w:r w:rsidR="009236B2" w:rsidRPr="00132AF8">
        <w:rPr>
          <w:rFonts w:ascii="Tahoma" w:hAnsi="Tahoma" w:cs="Tahoma"/>
          <w:sz w:val="24"/>
          <w:szCs w:val="24"/>
        </w:rPr>
        <w:t xml:space="preserve"> very low.</w:t>
      </w:r>
    </w:p>
    <w:p w:rsidR="00D52DED" w:rsidRPr="003908B1" w:rsidRDefault="00D52DED" w:rsidP="00B94C4F">
      <w:pPr>
        <w:autoSpaceDE w:val="0"/>
        <w:autoSpaceDN w:val="0"/>
        <w:adjustRightInd w:val="0"/>
        <w:spacing w:after="0" w:line="240" w:lineRule="auto"/>
        <w:rPr>
          <w:rFonts w:ascii="Arial" w:hAnsi="Arial" w:cs="Arial"/>
          <w:color w:val="FF0000"/>
          <w:sz w:val="24"/>
          <w:szCs w:val="24"/>
        </w:rPr>
      </w:pPr>
    </w:p>
    <w:p w:rsidR="002C4655" w:rsidRPr="00132AF8" w:rsidRDefault="00272208" w:rsidP="00B94C4F">
      <w:pPr>
        <w:autoSpaceDE w:val="0"/>
        <w:autoSpaceDN w:val="0"/>
        <w:adjustRightInd w:val="0"/>
        <w:spacing w:after="0" w:line="240" w:lineRule="auto"/>
        <w:rPr>
          <w:rFonts w:ascii="Tahoma" w:hAnsi="Tahoma" w:cs="Tahoma"/>
          <w:b/>
          <w:noProof/>
          <w:sz w:val="24"/>
          <w:szCs w:val="24"/>
          <w:lang w:eastAsia="en-GB"/>
        </w:rPr>
      </w:pPr>
      <w:r w:rsidRPr="00132AF8">
        <w:rPr>
          <w:rFonts w:ascii="Tahoma" w:hAnsi="Tahoma" w:cs="Tahoma"/>
          <w:b/>
          <w:noProof/>
          <w:sz w:val="24"/>
          <w:szCs w:val="24"/>
          <w:lang w:eastAsia="en-GB"/>
        </w:rPr>
        <w:t>Table 7</w:t>
      </w:r>
      <w:r w:rsidR="00AD7621" w:rsidRPr="00132AF8">
        <w:rPr>
          <w:rFonts w:ascii="Tahoma" w:hAnsi="Tahoma" w:cs="Tahoma"/>
          <w:b/>
          <w:noProof/>
          <w:sz w:val="24"/>
          <w:szCs w:val="24"/>
          <w:lang w:eastAsia="en-GB"/>
        </w:rPr>
        <w:t>: Summary of land zoned for industry</w:t>
      </w:r>
      <w:r w:rsidR="000A03FB">
        <w:rPr>
          <w:rFonts w:ascii="Tahoma" w:hAnsi="Tahoma" w:cs="Tahoma"/>
          <w:b/>
          <w:noProof/>
          <w:sz w:val="24"/>
          <w:szCs w:val="24"/>
          <w:lang w:eastAsia="en-GB"/>
        </w:rPr>
        <w:t xml:space="preserve"> in Newry, Mourne and Down </w:t>
      </w:r>
    </w:p>
    <w:p w:rsidR="002C4655" w:rsidRDefault="002C4655" w:rsidP="00B94C4F">
      <w:pPr>
        <w:autoSpaceDE w:val="0"/>
        <w:autoSpaceDN w:val="0"/>
        <w:adjustRightInd w:val="0"/>
        <w:spacing w:after="0" w:line="240" w:lineRule="auto"/>
        <w:rPr>
          <w:rFonts w:ascii="Arial" w:hAnsi="Arial" w:cs="Arial"/>
          <w:noProof/>
          <w:sz w:val="24"/>
          <w:szCs w:val="24"/>
          <w:lang w:eastAsia="en-GB"/>
        </w:rPr>
      </w:pPr>
    </w:p>
    <w:tbl>
      <w:tblPr>
        <w:tblW w:w="9923" w:type="dxa"/>
        <w:tblInd w:w="108" w:type="dxa"/>
        <w:tblLayout w:type="fixed"/>
        <w:tblLook w:val="04A0" w:firstRow="1" w:lastRow="0" w:firstColumn="1" w:lastColumn="0" w:noHBand="0" w:noVBand="1"/>
      </w:tblPr>
      <w:tblGrid>
        <w:gridCol w:w="2127"/>
        <w:gridCol w:w="1559"/>
        <w:gridCol w:w="1276"/>
        <w:gridCol w:w="1701"/>
        <w:gridCol w:w="1417"/>
        <w:gridCol w:w="1843"/>
      </w:tblGrid>
      <w:tr w:rsidR="004A06F9" w:rsidRPr="002C4655" w:rsidTr="001C7352">
        <w:trPr>
          <w:trHeight w:val="735"/>
        </w:trPr>
        <w:tc>
          <w:tcPr>
            <w:tcW w:w="2127" w:type="dxa"/>
            <w:tcBorders>
              <w:top w:val="single" w:sz="4" w:space="0" w:color="auto"/>
              <w:left w:val="single" w:sz="4" w:space="0" w:color="auto"/>
              <w:bottom w:val="single" w:sz="4" w:space="0" w:color="auto"/>
              <w:right w:val="single" w:sz="4" w:space="0" w:color="auto"/>
            </w:tcBorders>
            <w:shd w:val="clear" w:color="000000" w:fill="D9D9D9"/>
            <w:noWrap/>
            <w:hideMark/>
          </w:tcPr>
          <w:p w:rsidR="004A06F9" w:rsidRPr="002C4655" w:rsidRDefault="004A06F9" w:rsidP="002C4655">
            <w:pPr>
              <w:spacing w:after="0" w:line="240" w:lineRule="auto"/>
              <w:rPr>
                <w:rFonts w:ascii="Calibri" w:eastAsia="Times New Roman" w:hAnsi="Calibri" w:cs="Times New Roman"/>
                <w:b/>
                <w:bCs/>
                <w:color w:val="000000"/>
                <w:lang w:eastAsia="en-GB"/>
              </w:rPr>
            </w:pPr>
            <w:r w:rsidRPr="002C4655">
              <w:rPr>
                <w:rFonts w:ascii="Calibri" w:eastAsia="Times New Roman" w:hAnsi="Calibri" w:cs="Times New Roman"/>
                <w:b/>
                <w:bCs/>
                <w:color w:val="000000"/>
                <w:lang w:eastAsia="en-GB"/>
              </w:rPr>
              <w:t>Settlement</w:t>
            </w:r>
          </w:p>
        </w:tc>
        <w:tc>
          <w:tcPr>
            <w:tcW w:w="1559" w:type="dxa"/>
            <w:tcBorders>
              <w:top w:val="single" w:sz="4" w:space="0" w:color="auto"/>
              <w:left w:val="nil"/>
              <w:bottom w:val="single" w:sz="4" w:space="0" w:color="auto"/>
              <w:right w:val="single" w:sz="4" w:space="0" w:color="auto"/>
            </w:tcBorders>
            <w:shd w:val="clear" w:color="000000" w:fill="D9D9D9"/>
            <w:hideMark/>
          </w:tcPr>
          <w:p w:rsidR="004A06F9" w:rsidRPr="002C4655" w:rsidRDefault="00DD175C" w:rsidP="002C465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Total Area Zoned (ha</w:t>
            </w:r>
            <w:r w:rsidR="004A06F9" w:rsidRPr="002C4655">
              <w:rPr>
                <w:rFonts w:ascii="Calibri" w:eastAsia="Times New Roman" w:hAnsi="Calibri" w:cs="Times New Roman"/>
                <w:b/>
                <w:bCs/>
                <w:color w:val="000000"/>
                <w:lang w:eastAsia="en-GB"/>
              </w:rPr>
              <w:t>)</w:t>
            </w:r>
          </w:p>
        </w:tc>
        <w:tc>
          <w:tcPr>
            <w:tcW w:w="1276" w:type="dxa"/>
            <w:tcBorders>
              <w:top w:val="single" w:sz="4" w:space="0" w:color="auto"/>
              <w:left w:val="nil"/>
              <w:bottom w:val="single" w:sz="4" w:space="0" w:color="auto"/>
              <w:right w:val="single" w:sz="4" w:space="0" w:color="auto"/>
            </w:tcBorders>
            <w:shd w:val="clear" w:color="000000" w:fill="D9D9D9"/>
            <w:hideMark/>
          </w:tcPr>
          <w:p w:rsidR="004A06F9" w:rsidRPr="002C4655" w:rsidRDefault="00DD175C" w:rsidP="002C465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Area Developed (ha</w:t>
            </w:r>
            <w:r w:rsidR="004A06F9" w:rsidRPr="002C4655">
              <w:rPr>
                <w:rFonts w:ascii="Calibri" w:eastAsia="Times New Roman" w:hAnsi="Calibri" w:cs="Times New Roman"/>
                <w:b/>
                <w:bCs/>
                <w:color w:val="000000"/>
                <w:lang w:eastAsia="en-GB"/>
              </w:rPr>
              <w:t>)</w:t>
            </w:r>
          </w:p>
        </w:tc>
        <w:tc>
          <w:tcPr>
            <w:tcW w:w="1701" w:type="dxa"/>
            <w:tcBorders>
              <w:top w:val="single" w:sz="4" w:space="0" w:color="auto"/>
              <w:left w:val="nil"/>
              <w:bottom w:val="single" w:sz="4" w:space="0" w:color="auto"/>
              <w:right w:val="single" w:sz="4" w:space="0" w:color="auto"/>
            </w:tcBorders>
            <w:shd w:val="clear" w:color="000000" w:fill="D9D9D9"/>
            <w:hideMark/>
          </w:tcPr>
          <w:p w:rsidR="004A06F9" w:rsidRPr="002C4655" w:rsidRDefault="004A06F9" w:rsidP="002C465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Average A</w:t>
            </w:r>
            <w:r w:rsidR="00DD175C">
              <w:rPr>
                <w:rFonts w:ascii="Calibri" w:eastAsia="Times New Roman" w:hAnsi="Calibri" w:cs="Times New Roman"/>
                <w:b/>
                <w:bCs/>
                <w:color w:val="000000"/>
                <w:lang w:eastAsia="en-GB"/>
              </w:rPr>
              <w:t>rea Developed Per Year (ha</w:t>
            </w:r>
            <w:r>
              <w:rPr>
                <w:rFonts w:ascii="Calibri" w:eastAsia="Times New Roman" w:hAnsi="Calibri" w:cs="Times New Roman"/>
                <w:b/>
                <w:bCs/>
                <w:color w:val="000000"/>
                <w:lang w:eastAsia="en-GB"/>
              </w:rPr>
              <w:t>)</w:t>
            </w:r>
          </w:p>
        </w:tc>
        <w:tc>
          <w:tcPr>
            <w:tcW w:w="1417" w:type="dxa"/>
            <w:tcBorders>
              <w:top w:val="single" w:sz="4" w:space="0" w:color="auto"/>
              <w:left w:val="nil"/>
              <w:bottom w:val="single" w:sz="4" w:space="0" w:color="auto"/>
              <w:right w:val="single" w:sz="4" w:space="0" w:color="auto"/>
            </w:tcBorders>
            <w:shd w:val="clear" w:color="000000" w:fill="D9D9D9"/>
          </w:tcPr>
          <w:p w:rsidR="004A06F9" w:rsidRPr="002C4655" w:rsidRDefault="004A06F9" w:rsidP="002C465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Area lost or discounted (ha)</w:t>
            </w:r>
          </w:p>
        </w:tc>
        <w:tc>
          <w:tcPr>
            <w:tcW w:w="1843" w:type="dxa"/>
            <w:tcBorders>
              <w:top w:val="single" w:sz="4" w:space="0" w:color="auto"/>
              <w:left w:val="nil"/>
              <w:bottom w:val="single" w:sz="4" w:space="0" w:color="auto"/>
              <w:right w:val="single" w:sz="4" w:space="0" w:color="auto"/>
            </w:tcBorders>
            <w:shd w:val="clear" w:color="000000" w:fill="D9D9D9"/>
          </w:tcPr>
          <w:p w:rsidR="004A06F9" w:rsidRPr="004A06F9" w:rsidRDefault="004A06F9" w:rsidP="002C4655">
            <w:pPr>
              <w:spacing w:after="0" w:line="240" w:lineRule="auto"/>
              <w:rPr>
                <w:rFonts w:ascii="Calibri" w:eastAsia="Times New Roman" w:hAnsi="Calibri" w:cs="Times New Roman"/>
                <w:b/>
                <w:bCs/>
                <w:color w:val="000000"/>
                <w:lang w:eastAsia="en-GB"/>
              </w:rPr>
            </w:pPr>
            <w:r w:rsidRPr="004A06F9">
              <w:rPr>
                <w:rFonts w:ascii="Calibri" w:eastAsia="Times New Roman" w:hAnsi="Calibri" w:cs="Times New Roman"/>
                <w:b/>
                <w:bCs/>
                <w:color w:val="000000"/>
                <w:lang w:eastAsia="en-GB"/>
              </w:rPr>
              <w:t>Area Remaining</w:t>
            </w:r>
            <w:r w:rsidR="00FC4F53">
              <w:rPr>
                <w:rFonts w:ascii="Calibri" w:eastAsia="Times New Roman" w:hAnsi="Calibri" w:cs="Times New Roman"/>
                <w:b/>
                <w:bCs/>
                <w:color w:val="000000"/>
                <w:lang w:eastAsia="en-GB"/>
              </w:rPr>
              <w:t>*</w:t>
            </w:r>
            <w:r w:rsidRPr="004A06F9">
              <w:rPr>
                <w:rFonts w:ascii="Calibri" w:eastAsia="Times New Roman" w:hAnsi="Calibri" w:cs="Times New Roman"/>
                <w:b/>
                <w:bCs/>
                <w:color w:val="000000"/>
                <w:lang w:eastAsia="en-GB"/>
              </w:rPr>
              <w:t xml:space="preserve"> </w:t>
            </w:r>
            <w:r w:rsidR="00DD175C">
              <w:rPr>
                <w:rFonts w:ascii="Calibri" w:eastAsia="Times New Roman" w:hAnsi="Calibri" w:cs="Times New Roman"/>
                <w:b/>
                <w:bCs/>
                <w:color w:val="000000"/>
                <w:lang w:eastAsia="en-GB"/>
              </w:rPr>
              <w:t>[vacant] (ha</w:t>
            </w:r>
            <w:r w:rsidRPr="004A06F9">
              <w:rPr>
                <w:rFonts w:ascii="Calibri" w:eastAsia="Times New Roman" w:hAnsi="Calibri" w:cs="Times New Roman"/>
                <w:b/>
                <w:bCs/>
                <w:color w:val="000000"/>
                <w:lang w:eastAsia="en-GB"/>
              </w:rPr>
              <w:t>)</w:t>
            </w:r>
          </w:p>
        </w:tc>
      </w:tr>
      <w:tr w:rsidR="004A06F9" w:rsidRPr="002C4655" w:rsidTr="001C7352">
        <w:trPr>
          <w:trHeight w:val="300"/>
        </w:trPr>
        <w:tc>
          <w:tcPr>
            <w:tcW w:w="6663" w:type="dxa"/>
            <w:gridSpan w:val="4"/>
            <w:tcBorders>
              <w:top w:val="nil"/>
              <w:left w:val="single" w:sz="4" w:space="0" w:color="auto"/>
              <w:bottom w:val="single" w:sz="4" w:space="0" w:color="auto"/>
              <w:right w:val="single" w:sz="4" w:space="0" w:color="auto"/>
            </w:tcBorders>
            <w:shd w:val="clear" w:color="auto" w:fill="auto"/>
            <w:noWrap/>
            <w:vAlign w:val="bottom"/>
          </w:tcPr>
          <w:p w:rsidR="004A06F9" w:rsidRPr="007173C8" w:rsidRDefault="004A06F9" w:rsidP="00BC4A23">
            <w:pPr>
              <w:spacing w:after="0" w:line="240" w:lineRule="auto"/>
              <w:rPr>
                <w:rFonts w:ascii="Calibri" w:eastAsia="Times New Roman" w:hAnsi="Calibri" w:cs="Times New Roman"/>
                <w:b/>
                <w:color w:val="000000"/>
                <w:lang w:eastAsia="en-GB"/>
              </w:rPr>
            </w:pPr>
            <w:proofErr w:type="spellStart"/>
            <w:r w:rsidRPr="007173C8">
              <w:rPr>
                <w:rFonts w:ascii="Calibri" w:eastAsia="Times New Roman" w:hAnsi="Calibri" w:cs="Times New Roman"/>
                <w:b/>
                <w:color w:val="000000"/>
                <w:lang w:eastAsia="en-GB"/>
              </w:rPr>
              <w:t>Banbridge</w:t>
            </w:r>
            <w:proofErr w:type="spellEnd"/>
            <w:r w:rsidR="00BC4A23">
              <w:rPr>
                <w:rFonts w:ascii="Calibri" w:eastAsia="Times New Roman" w:hAnsi="Calibri" w:cs="Times New Roman"/>
                <w:b/>
                <w:color w:val="000000"/>
                <w:lang w:eastAsia="en-GB"/>
              </w:rPr>
              <w:t xml:space="preserve">, </w:t>
            </w:r>
            <w:r w:rsidRPr="007173C8">
              <w:rPr>
                <w:rFonts w:ascii="Calibri" w:eastAsia="Times New Roman" w:hAnsi="Calibri" w:cs="Times New Roman"/>
                <w:b/>
                <w:color w:val="000000"/>
                <w:lang w:eastAsia="en-GB"/>
              </w:rPr>
              <w:t xml:space="preserve">Newry &amp; </w:t>
            </w:r>
            <w:proofErr w:type="spellStart"/>
            <w:r w:rsidRPr="007173C8">
              <w:rPr>
                <w:rFonts w:ascii="Calibri" w:eastAsia="Times New Roman" w:hAnsi="Calibri" w:cs="Times New Roman"/>
                <w:b/>
                <w:color w:val="000000"/>
                <w:lang w:eastAsia="en-GB"/>
              </w:rPr>
              <w:t>Mourne</w:t>
            </w:r>
            <w:proofErr w:type="spellEnd"/>
            <w:r w:rsidRPr="007173C8">
              <w:rPr>
                <w:rFonts w:ascii="Calibri" w:eastAsia="Times New Roman" w:hAnsi="Calibri" w:cs="Times New Roman"/>
                <w:b/>
                <w:color w:val="000000"/>
                <w:lang w:eastAsia="en-GB"/>
              </w:rPr>
              <w:t xml:space="preserve"> Area Plan 2015</w:t>
            </w:r>
            <w:r>
              <w:rPr>
                <w:rFonts w:ascii="Calibri" w:eastAsia="Times New Roman" w:hAnsi="Calibri" w:cs="Times New Roman"/>
                <w:b/>
                <w:color w:val="000000"/>
                <w:lang w:eastAsia="en-GB"/>
              </w:rPr>
              <w:t xml:space="preserve">: </w:t>
            </w:r>
            <w:r w:rsidR="0049163F">
              <w:rPr>
                <w:rFonts w:ascii="Calibri" w:eastAsia="Times New Roman" w:hAnsi="Calibri" w:cs="Times New Roman"/>
                <w:b/>
                <w:color w:val="000000"/>
                <w:lang w:eastAsia="en-GB"/>
              </w:rPr>
              <w:t>B</w:t>
            </w:r>
            <w:r w:rsidR="00FB3BB6" w:rsidRPr="00FB3BB6">
              <w:rPr>
                <w:rFonts w:ascii="Calibri" w:eastAsia="Times New Roman" w:hAnsi="Calibri" w:cs="Times New Roman"/>
                <w:b/>
                <w:lang w:eastAsia="en-GB"/>
              </w:rPr>
              <w:t xml:space="preserve">ased on </w:t>
            </w:r>
            <w:r w:rsidR="00FB3BB6">
              <w:rPr>
                <w:rFonts w:ascii="Calibri" w:eastAsia="Times New Roman" w:hAnsi="Calibri" w:cs="Times New Roman"/>
                <w:b/>
                <w:lang w:eastAsia="en-GB"/>
              </w:rPr>
              <w:t xml:space="preserve">land developed over the </w:t>
            </w:r>
            <w:r w:rsidR="00FB3BB6" w:rsidRPr="00FB3BB6">
              <w:rPr>
                <w:rFonts w:ascii="Calibri" w:eastAsia="Times New Roman" w:hAnsi="Calibri" w:cs="Times New Roman"/>
                <w:b/>
                <w:lang w:eastAsia="en-GB"/>
              </w:rPr>
              <w:t>plan period 2000-2015</w:t>
            </w:r>
            <w:r w:rsidR="001977B0">
              <w:rPr>
                <w:rFonts w:ascii="Calibri" w:eastAsia="Times New Roman" w:hAnsi="Calibri" w:cs="Times New Roman"/>
                <w:b/>
                <w:lang w:eastAsia="en-GB"/>
              </w:rPr>
              <w:t xml:space="preserve"> </w:t>
            </w:r>
          </w:p>
        </w:tc>
        <w:tc>
          <w:tcPr>
            <w:tcW w:w="1417" w:type="dxa"/>
            <w:tcBorders>
              <w:top w:val="nil"/>
              <w:left w:val="single" w:sz="4" w:space="0" w:color="auto"/>
              <w:bottom w:val="single" w:sz="4" w:space="0" w:color="auto"/>
              <w:right w:val="single" w:sz="4" w:space="0" w:color="auto"/>
            </w:tcBorders>
          </w:tcPr>
          <w:p w:rsidR="004A06F9" w:rsidRPr="007173C8" w:rsidRDefault="004A06F9" w:rsidP="002C4655">
            <w:pPr>
              <w:spacing w:after="0" w:line="240" w:lineRule="auto"/>
              <w:rPr>
                <w:rFonts w:ascii="Calibri" w:eastAsia="Times New Roman" w:hAnsi="Calibri" w:cs="Times New Roman"/>
                <w:b/>
                <w:color w:val="000000"/>
                <w:lang w:eastAsia="en-GB"/>
              </w:rPr>
            </w:pPr>
          </w:p>
        </w:tc>
        <w:tc>
          <w:tcPr>
            <w:tcW w:w="1843" w:type="dxa"/>
            <w:tcBorders>
              <w:top w:val="nil"/>
              <w:left w:val="single" w:sz="4" w:space="0" w:color="auto"/>
              <w:bottom w:val="single" w:sz="4" w:space="0" w:color="auto"/>
              <w:right w:val="single" w:sz="4" w:space="0" w:color="auto"/>
            </w:tcBorders>
          </w:tcPr>
          <w:p w:rsidR="004A06F9" w:rsidRPr="007173C8" w:rsidRDefault="004A06F9" w:rsidP="002C4655">
            <w:pPr>
              <w:spacing w:after="0" w:line="240" w:lineRule="auto"/>
              <w:rPr>
                <w:rFonts w:ascii="Calibri" w:eastAsia="Times New Roman" w:hAnsi="Calibri" w:cs="Times New Roman"/>
                <w:b/>
                <w:color w:val="000000"/>
                <w:lang w:eastAsia="en-GB"/>
              </w:rPr>
            </w:pP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Newry City</w:t>
            </w:r>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DD175C"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124.</w:t>
            </w:r>
            <w:r w:rsidR="00335034">
              <w:rPr>
                <w:rFonts w:ascii="Calibri" w:eastAsia="Times New Roman" w:hAnsi="Calibri" w:cs="Times New Roman"/>
                <w:color w:val="000000"/>
                <w:lang w:eastAsia="en-GB"/>
              </w:rPr>
              <w:t>05</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 </w:t>
            </w:r>
            <w:r w:rsidR="00310FDC">
              <w:rPr>
                <w:rFonts w:ascii="Calibri" w:eastAsia="Times New Roman" w:hAnsi="Calibri" w:cs="Times New Roman"/>
                <w:color w:val="000000"/>
                <w:lang w:eastAsia="en-GB"/>
              </w:rPr>
              <w:t>17.93</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 </w:t>
            </w:r>
            <w:r w:rsidR="00595805">
              <w:rPr>
                <w:rFonts w:ascii="Calibri" w:eastAsia="Times New Roman" w:hAnsi="Calibri" w:cs="Times New Roman"/>
                <w:color w:val="000000"/>
                <w:lang w:eastAsia="en-GB"/>
              </w:rPr>
              <w:t>1.20</w:t>
            </w:r>
          </w:p>
        </w:tc>
        <w:tc>
          <w:tcPr>
            <w:tcW w:w="1417" w:type="dxa"/>
            <w:tcBorders>
              <w:top w:val="nil"/>
              <w:left w:val="nil"/>
              <w:bottom w:val="single" w:sz="4" w:space="0" w:color="auto"/>
              <w:right w:val="single" w:sz="4" w:space="0" w:color="auto"/>
            </w:tcBorders>
          </w:tcPr>
          <w:p w:rsidR="004A06F9" w:rsidRPr="002C4655" w:rsidRDefault="00335034"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7.3</w:t>
            </w:r>
            <w:r w:rsidR="00936B6A">
              <w:rPr>
                <w:rFonts w:ascii="Calibri" w:eastAsia="Times New Roman" w:hAnsi="Calibri" w:cs="Times New Roman"/>
                <w:color w:val="000000"/>
                <w:lang w:eastAsia="en-GB"/>
              </w:rPr>
              <w:t>9</w:t>
            </w:r>
          </w:p>
        </w:tc>
        <w:tc>
          <w:tcPr>
            <w:tcW w:w="1843" w:type="dxa"/>
            <w:tcBorders>
              <w:top w:val="nil"/>
              <w:left w:val="nil"/>
              <w:bottom w:val="single" w:sz="4" w:space="0" w:color="auto"/>
              <w:right w:val="single" w:sz="4" w:space="0" w:color="auto"/>
            </w:tcBorders>
          </w:tcPr>
          <w:p w:rsidR="004A06F9" w:rsidRPr="002C4655" w:rsidRDefault="00936B6A"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96.70</w:t>
            </w:r>
            <w:r w:rsidR="00DD175C">
              <w:rPr>
                <w:rFonts w:ascii="Calibri" w:eastAsia="Times New Roman" w:hAnsi="Calibri" w:cs="Times New Roman"/>
                <w:color w:val="000000"/>
                <w:lang w:eastAsia="en-GB"/>
              </w:rPr>
              <w:t xml:space="preserve"> [2.03]</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proofErr w:type="spellStart"/>
            <w:r w:rsidRPr="002C4655">
              <w:rPr>
                <w:rFonts w:ascii="Calibri" w:eastAsia="Times New Roman" w:hAnsi="Calibri" w:cs="Times New Roman"/>
                <w:color w:val="000000"/>
                <w:lang w:eastAsia="en-GB"/>
              </w:rPr>
              <w:t>Crossmaglen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614A14" w:rsidRDefault="003618ED" w:rsidP="00675CAD">
            <w:pPr>
              <w:spacing w:after="0" w:line="240" w:lineRule="auto"/>
              <w:jc w:val="right"/>
              <w:rPr>
                <w:rFonts w:ascii="Calibri" w:eastAsia="Times New Roman" w:hAnsi="Calibri" w:cs="Times New Roman"/>
                <w:color w:val="FF0000"/>
                <w:lang w:eastAsia="en-GB"/>
              </w:rPr>
            </w:pPr>
            <w:r w:rsidRPr="00614A14">
              <w:rPr>
                <w:rFonts w:ascii="Calibri" w:eastAsia="Times New Roman" w:hAnsi="Calibri" w:cs="Times New Roman"/>
                <w:lang w:eastAsia="en-GB"/>
              </w:rPr>
              <w:t>1.65</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3618ED" w:rsidRDefault="003618ED" w:rsidP="00675CAD">
            <w:pPr>
              <w:spacing w:after="0" w:line="240" w:lineRule="auto"/>
              <w:jc w:val="right"/>
              <w:rPr>
                <w:rFonts w:ascii="Calibri" w:eastAsia="Times New Roman" w:hAnsi="Calibri" w:cs="Times New Roman"/>
                <w:lang w:eastAsia="en-GB"/>
              </w:rPr>
            </w:pPr>
            <w:r w:rsidRPr="003618ED">
              <w:rPr>
                <w:rFonts w:ascii="Calibri" w:eastAsia="Times New Roman" w:hAnsi="Calibri" w:cs="Times New Roman"/>
                <w:lang w:eastAsia="en-GB"/>
              </w:rPr>
              <w:t>0.00</w:t>
            </w:r>
            <w:r w:rsidR="004A06F9" w:rsidRPr="003618ED">
              <w:rPr>
                <w:rFonts w:ascii="Calibri" w:eastAsia="Times New Roman" w:hAnsi="Calibri" w:cs="Times New Roman"/>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3618ED" w:rsidRDefault="004A06F9" w:rsidP="00675CAD">
            <w:pPr>
              <w:spacing w:after="0" w:line="240" w:lineRule="auto"/>
              <w:jc w:val="right"/>
              <w:rPr>
                <w:rFonts w:ascii="Calibri" w:eastAsia="Times New Roman" w:hAnsi="Calibri" w:cs="Times New Roman"/>
                <w:lang w:eastAsia="en-GB"/>
              </w:rPr>
            </w:pPr>
            <w:r w:rsidRPr="003618ED">
              <w:rPr>
                <w:rFonts w:ascii="Calibri" w:eastAsia="Times New Roman" w:hAnsi="Calibri" w:cs="Times New Roman"/>
                <w:lang w:eastAsia="en-GB"/>
              </w:rPr>
              <w:t> </w:t>
            </w:r>
            <w:r w:rsidR="003618ED" w:rsidRPr="003618ED">
              <w:rPr>
                <w:rFonts w:ascii="Calibri" w:eastAsia="Times New Roman" w:hAnsi="Calibri" w:cs="Times New Roman"/>
                <w:lang w:eastAsia="en-GB"/>
              </w:rPr>
              <w:t>0.00</w:t>
            </w:r>
          </w:p>
        </w:tc>
        <w:tc>
          <w:tcPr>
            <w:tcW w:w="1417" w:type="dxa"/>
            <w:tcBorders>
              <w:top w:val="nil"/>
              <w:left w:val="nil"/>
              <w:bottom w:val="single" w:sz="4" w:space="0" w:color="auto"/>
              <w:right w:val="single" w:sz="4" w:space="0" w:color="auto"/>
            </w:tcBorders>
          </w:tcPr>
          <w:p w:rsidR="004A06F9" w:rsidRPr="003618ED" w:rsidRDefault="003618ED" w:rsidP="00675CAD">
            <w:pPr>
              <w:spacing w:after="0" w:line="240" w:lineRule="auto"/>
              <w:jc w:val="right"/>
              <w:rPr>
                <w:rFonts w:ascii="Calibri" w:eastAsia="Times New Roman" w:hAnsi="Calibri" w:cs="Times New Roman"/>
                <w:lang w:eastAsia="en-GB"/>
              </w:rPr>
            </w:pPr>
            <w:r w:rsidRPr="003618ED">
              <w:rPr>
                <w:rFonts w:ascii="Calibri" w:eastAsia="Times New Roman" w:hAnsi="Calibri" w:cs="Times New Roman"/>
                <w:lang w:eastAsia="en-GB"/>
              </w:rPr>
              <w:t>1.15</w:t>
            </w:r>
          </w:p>
        </w:tc>
        <w:tc>
          <w:tcPr>
            <w:tcW w:w="1843" w:type="dxa"/>
            <w:tcBorders>
              <w:top w:val="nil"/>
              <w:left w:val="nil"/>
              <w:bottom w:val="single" w:sz="4" w:space="0" w:color="auto"/>
              <w:right w:val="single" w:sz="4" w:space="0" w:color="auto"/>
            </w:tcBorders>
          </w:tcPr>
          <w:p w:rsidR="004A06F9" w:rsidRPr="003618ED" w:rsidRDefault="00E42446" w:rsidP="00675CAD">
            <w:pPr>
              <w:spacing w:after="0" w:line="240" w:lineRule="auto"/>
              <w:jc w:val="right"/>
              <w:rPr>
                <w:rFonts w:ascii="Calibri" w:eastAsia="Times New Roman" w:hAnsi="Calibri" w:cs="Times New Roman"/>
                <w:lang w:eastAsia="en-GB"/>
              </w:rPr>
            </w:pPr>
            <w:r w:rsidRPr="003618ED">
              <w:rPr>
                <w:rFonts w:ascii="Calibri" w:eastAsia="Times New Roman" w:hAnsi="Calibri" w:cs="Times New Roman"/>
                <w:lang w:eastAsia="en-GB"/>
              </w:rPr>
              <w:t>0.5</w:t>
            </w:r>
            <w:r w:rsidR="00C8012A">
              <w:rPr>
                <w:rFonts w:ascii="Calibri" w:eastAsia="Times New Roman" w:hAnsi="Calibri" w:cs="Times New Roman"/>
                <w:lang w:eastAsia="en-GB"/>
              </w:rPr>
              <w:t>0</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proofErr w:type="spellStart"/>
            <w:r w:rsidRPr="002C4655">
              <w:rPr>
                <w:rFonts w:ascii="Calibri" w:eastAsia="Times New Roman" w:hAnsi="Calibri" w:cs="Times New Roman"/>
                <w:color w:val="000000"/>
                <w:lang w:eastAsia="en-GB"/>
              </w:rPr>
              <w:t>Kilkeel</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867BC0" w:rsidRDefault="004A06F9" w:rsidP="00675CAD">
            <w:pPr>
              <w:spacing w:after="0" w:line="240" w:lineRule="auto"/>
              <w:jc w:val="right"/>
              <w:rPr>
                <w:rFonts w:ascii="Calibri" w:eastAsia="Times New Roman" w:hAnsi="Calibri" w:cs="Times New Roman"/>
                <w:lang w:eastAsia="en-GB"/>
              </w:rPr>
            </w:pPr>
            <w:r w:rsidRPr="00867BC0">
              <w:rPr>
                <w:rFonts w:ascii="Calibri" w:eastAsia="Times New Roman" w:hAnsi="Calibri" w:cs="Times New Roman"/>
                <w:lang w:eastAsia="en-GB"/>
              </w:rPr>
              <w:t>24.57</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867BC0" w:rsidRDefault="004A06F9" w:rsidP="00675CAD">
            <w:pPr>
              <w:spacing w:after="0" w:line="240" w:lineRule="auto"/>
              <w:jc w:val="right"/>
              <w:rPr>
                <w:rFonts w:ascii="Calibri" w:eastAsia="Times New Roman" w:hAnsi="Calibri" w:cs="Times New Roman"/>
                <w:lang w:eastAsia="en-GB"/>
              </w:rPr>
            </w:pPr>
            <w:r w:rsidRPr="00867BC0">
              <w:rPr>
                <w:rFonts w:ascii="Calibri" w:eastAsia="Times New Roman" w:hAnsi="Calibri" w:cs="Times New Roman"/>
                <w:lang w:eastAsia="en-GB"/>
              </w:rPr>
              <w:t> </w:t>
            </w:r>
            <w:r w:rsidR="00867BC0" w:rsidRPr="00867BC0">
              <w:rPr>
                <w:rFonts w:ascii="Calibri" w:eastAsia="Times New Roman" w:hAnsi="Calibri" w:cs="Times New Roman"/>
                <w:lang w:eastAsia="en-GB"/>
              </w:rPr>
              <w:t>1.41</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867BC0" w:rsidRDefault="004A06F9" w:rsidP="00675CAD">
            <w:pPr>
              <w:spacing w:after="0" w:line="240" w:lineRule="auto"/>
              <w:jc w:val="right"/>
              <w:rPr>
                <w:rFonts w:ascii="Calibri" w:eastAsia="Times New Roman" w:hAnsi="Calibri" w:cs="Times New Roman"/>
                <w:lang w:eastAsia="en-GB"/>
              </w:rPr>
            </w:pPr>
            <w:r w:rsidRPr="00867BC0">
              <w:rPr>
                <w:rFonts w:ascii="Calibri" w:eastAsia="Times New Roman" w:hAnsi="Calibri" w:cs="Times New Roman"/>
                <w:lang w:eastAsia="en-GB"/>
              </w:rPr>
              <w:t> </w:t>
            </w:r>
            <w:r w:rsidR="00867BC0" w:rsidRPr="00867BC0">
              <w:rPr>
                <w:rFonts w:ascii="Calibri" w:eastAsia="Times New Roman" w:hAnsi="Calibri" w:cs="Times New Roman"/>
                <w:lang w:eastAsia="en-GB"/>
              </w:rPr>
              <w:t>0.09</w:t>
            </w:r>
          </w:p>
        </w:tc>
        <w:tc>
          <w:tcPr>
            <w:tcW w:w="1417" w:type="dxa"/>
            <w:tcBorders>
              <w:top w:val="nil"/>
              <w:left w:val="nil"/>
              <w:bottom w:val="single" w:sz="4" w:space="0" w:color="auto"/>
              <w:right w:val="single" w:sz="4" w:space="0" w:color="auto"/>
            </w:tcBorders>
          </w:tcPr>
          <w:p w:rsidR="004A06F9" w:rsidRPr="00867BC0" w:rsidRDefault="00867BC0" w:rsidP="00675CAD">
            <w:pPr>
              <w:spacing w:after="0" w:line="240" w:lineRule="auto"/>
              <w:jc w:val="right"/>
              <w:rPr>
                <w:rFonts w:ascii="Calibri" w:eastAsia="Times New Roman" w:hAnsi="Calibri" w:cs="Times New Roman"/>
                <w:lang w:eastAsia="en-GB"/>
              </w:rPr>
            </w:pPr>
            <w:r w:rsidRPr="00867BC0">
              <w:rPr>
                <w:rFonts w:ascii="Calibri" w:eastAsia="Times New Roman" w:hAnsi="Calibri" w:cs="Times New Roman"/>
                <w:lang w:eastAsia="en-GB"/>
              </w:rPr>
              <w:t>3.31</w:t>
            </w:r>
          </w:p>
        </w:tc>
        <w:tc>
          <w:tcPr>
            <w:tcW w:w="1843" w:type="dxa"/>
            <w:tcBorders>
              <w:top w:val="nil"/>
              <w:left w:val="nil"/>
              <w:bottom w:val="single" w:sz="4" w:space="0" w:color="auto"/>
              <w:right w:val="single" w:sz="4" w:space="0" w:color="auto"/>
            </w:tcBorders>
          </w:tcPr>
          <w:p w:rsidR="004A06F9" w:rsidRPr="00867BC0" w:rsidRDefault="00867BC0" w:rsidP="00675CAD">
            <w:pPr>
              <w:spacing w:after="0" w:line="240" w:lineRule="auto"/>
              <w:jc w:val="right"/>
              <w:rPr>
                <w:rFonts w:ascii="Calibri" w:eastAsia="Times New Roman" w:hAnsi="Calibri" w:cs="Times New Roman"/>
                <w:lang w:eastAsia="en-GB"/>
              </w:rPr>
            </w:pPr>
            <w:r w:rsidRPr="00867BC0">
              <w:rPr>
                <w:rFonts w:ascii="Calibri" w:eastAsia="Times New Roman" w:hAnsi="Calibri" w:cs="Times New Roman"/>
                <w:lang w:eastAsia="en-GB"/>
              </w:rPr>
              <w:t>19.85</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proofErr w:type="spellStart"/>
            <w:r w:rsidRPr="002C4655">
              <w:rPr>
                <w:rFonts w:ascii="Calibri" w:eastAsia="Times New Roman" w:hAnsi="Calibri" w:cs="Times New Roman"/>
                <w:color w:val="000000"/>
                <w:lang w:eastAsia="en-GB"/>
              </w:rPr>
              <w:t>Newtownhamilton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0.46</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C943FD" w:rsidRDefault="004A06F9" w:rsidP="00675CAD">
            <w:pPr>
              <w:spacing w:after="0" w:line="240" w:lineRule="auto"/>
              <w:jc w:val="right"/>
              <w:rPr>
                <w:rFonts w:ascii="Calibri" w:eastAsia="Times New Roman" w:hAnsi="Calibri" w:cs="Times New Roman"/>
                <w:lang w:eastAsia="en-GB"/>
              </w:rPr>
            </w:pPr>
            <w:r w:rsidRPr="00C943FD">
              <w:rPr>
                <w:rFonts w:ascii="Calibri" w:eastAsia="Times New Roman" w:hAnsi="Calibri" w:cs="Times New Roman"/>
                <w:lang w:eastAsia="en-GB"/>
              </w:rPr>
              <w:t> </w:t>
            </w:r>
            <w:r w:rsidR="002E7374" w:rsidRPr="00C943FD">
              <w:rPr>
                <w:rFonts w:ascii="Calibri" w:eastAsia="Times New Roman" w:hAnsi="Calibri" w:cs="Times New Roman"/>
                <w:lang w:eastAsia="en-GB"/>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C943FD" w:rsidRDefault="004A06F9" w:rsidP="00675CAD">
            <w:pPr>
              <w:spacing w:after="0" w:line="240" w:lineRule="auto"/>
              <w:jc w:val="right"/>
              <w:rPr>
                <w:rFonts w:ascii="Calibri" w:eastAsia="Times New Roman" w:hAnsi="Calibri" w:cs="Times New Roman"/>
                <w:lang w:eastAsia="en-GB"/>
              </w:rPr>
            </w:pPr>
            <w:r w:rsidRPr="00C943FD">
              <w:rPr>
                <w:rFonts w:ascii="Calibri" w:eastAsia="Times New Roman" w:hAnsi="Calibri" w:cs="Times New Roman"/>
                <w:lang w:eastAsia="en-GB"/>
              </w:rPr>
              <w:t> </w:t>
            </w:r>
            <w:r w:rsidR="009B40FF" w:rsidRPr="00C943FD">
              <w:rPr>
                <w:rFonts w:ascii="Calibri" w:eastAsia="Times New Roman" w:hAnsi="Calibri" w:cs="Times New Roman"/>
                <w:lang w:eastAsia="en-GB"/>
              </w:rPr>
              <w:t>0.00</w:t>
            </w:r>
          </w:p>
        </w:tc>
        <w:tc>
          <w:tcPr>
            <w:tcW w:w="1417" w:type="dxa"/>
            <w:tcBorders>
              <w:top w:val="nil"/>
              <w:left w:val="nil"/>
              <w:bottom w:val="single" w:sz="4" w:space="0" w:color="auto"/>
              <w:right w:val="single" w:sz="4" w:space="0" w:color="auto"/>
            </w:tcBorders>
          </w:tcPr>
          <w:p w:rsidR="004A06F9" w:rsidRPr="00C943FD" w:rsidRDefault="002E7374" w:rsidP="00675CAD">
            <w:pPr>
              <w:spacing w:after="0" w:line="240" w:lineRule="auto"/>
              <w:jc w:val="right"/>
              <w:rPr>
                <w:rFonts w:ascii="Calibri" w:eastAsia="Times New Roman" w:hAnsi="Calibri" w:cs="Times New Roman"/>
                <w:lang w:eastAsia="en-GB"/>
              </w:rPr>
            </w:pPr>
            <w:r w:rsidRPr="00C943FD">
              <w:rPr>
                <w:rFonts w:ascii="Calibri" w:eastAsia="Times New Roman" w:hAnsi="Calibri" w:cs="Times New Roman"/>
                <w:lang w:eastAsia="en-GB"/>
              </w:rPr>
              <w:t>0.00</w:t>
            </w:r>
          </w:p>
        </w:tc>
        <w:tc>
          <w:tcPr>
            <w:tcW w:w="1843" w:type="dxa"/>
            <w:tcBorders>
              <w:top w:val="nil"/>
              <w:left w:val="nil"/>
              <w:bottom w:val="single" w:sz="4" w:space="0" w:color="auto"/>
              <w:right w:val="single" w:sz="4" w:space="0" w:color="auto"/>
            </w:tcBorders>
          </w:tcPr>
          <w:p w:rsidR="004A06F9" w:rsidRPr="00C943FD" w:rsidRDefault="002E7374" w:rsidP="00675CAD">
            <w:pPr>
              <w:spacing w:after="0" w:line="240" w:lineRule="auto"/>
              <w:jc w:val="right"/>
              <w:rPr>
                <w:rFonts w:ascii="Calibri" w:eastAsia="Times New Roman" w:hAnsi="Calibri" w:cs="Times New Roman"/>
                <w:lang w:eastAsia="en-GB"/>
              </w:rPr>
            </w:pPr>
            <w:r w:rsidRPr="00C943FD">
              <w:rPr>
                <w:rFonts w:ascii="Calibri" w:eastAsia="Times New Roman" w:hAnsi="Calibri" w:cs="Times New Roman"/>
                <w:lang w:eastAsia="en-GB"/>
              </w:rPr>
              <w:t>0.46</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proofErr w:type="spellStart"/>
            <w:r w:rsidRPr="002C4655">
              <w:rPr>
                <w:rFonts w:ascii="Calibri" w:eastAsia="Times New Roman" w:hAnsi="Calibri" w:cs="Times New Roman"/>
                <w:color w:val="000000"/>
                <w:lang w:eastAsia="en-GB"/>
              </w:rPr>
              <w:t>Warrenpoint</w:t>
            </w:r>
            <w:proofErr w:type="spellEnd"/>
            <w:r w:rsidRPr="002C4655">
              <w:rPr>
                <w:rFonts w:ascii="Calibri" w:eastAsia="Times New Roman" w:hAnsi="Calibri" w:cs="Times New Roman"/>
                <w:color w:val="000000"/>
                <w:lang w:eastAsia="en-GB"/>
              </w:rPr>
              <w:t>/</w:t>
            </w:r>
            <w:proofErr w:type="spellStart"/>
            <w:r w:rsidRPr="002C4655">
              <w:rPr>
                <w:rFonts w:ascii="Calibri" w:eastAsia="Times New Roman" w:hAnsi="Calibri" w:cs="Times New Roman"/>
                <w:color w:val="000000"/>
                <w:lang w:eastAsia="en-GB"/>
              </w:rPr>
              <w:t>Burren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16.94</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D2586C" w:rsidRDefault="004A06F9" w:rsidP="00675CAD">
            <w:pPr>
              <w:spacing w:after="0" w:line="240" w:lineRule="auto"/>
              <w:jc w:val="right"/>
              <w:rPr>
                <w:rFonts w:ascii="Calibri" w:eastAsia="Times New Roman" w:hAnsi="Calibri" w:cs="Times New Roman"/>
                <w:color w:val="FF0000"/>
                <w:lang w:eastAsia="en-GB"/>
              </w:rPr>
            </w:pPr>
            <w:r w:rsidRPr="00D3048C">
              <w:rPr>
                <w:rFonts w:ascii="Calibri" w:eastAsia="Times New Roman" w:hAnsi="Calibri" w:cs="Times New Roman"/>
                <w:lang w:eastAsia="en-GB"/>
              </w:rPr>
              <w:t> </w:t>
            </w:r>
            <w:r w:rsidR="00D3048C" w:rsidRPr="00D3048C">
              <w:rPr>
                <w:rFonts w:ascii="Calibri" w:eastAsia="Times New Roman" w:hAnsi="Calibri" w:cs="Times New Roman"/>
                <w:lang w:eastAsia="en-GB"/>
              </w:rPr>
              <w:t>0.44</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D2586C" w:rsidRDefault="00D3048C" w:rsidP="00675CAD">
            <w:pPr>
              <w:spacing w:after="0" w:line="240" w:lineRule="auto"/>
              <w:jc w:val="right"/>
              <w:rPr>
                <w:rFonts w:ascii="Calibri" w:eastAsia="Times New Roman" w:hAnsi="Calibri" w:cs="Times New Roman"/>
                <w:color w:val="FF0000"/>
                <w:lang w:eastAsia="en-GB"/>
              </w:rPr>
            </w:pPr>
            <w:r w:rsidRPr="00D3048C">
              <w:rPr>
                <w:rFonts w:ascii="Calibri" w:eastAsia="Times New Roman" w:hAnsi="Calibri" w:cs="Times New Roman"/>
                <w:lang w:eastAsia="en-GB"/>
              </w:rPr>
              <w:t>0.03</w:t>
            </w:r>
            <w:r w:rsidR="004A06F9" w:rsidRPr="00D3048C">
              <w:rPr>
                <w:rFonts w:ascii="Calibri" w:eastAsia="Times New Roman" w:hAnsi="Calibri" w:cs="Times New Roman"/>
                <w:lang w:eastAsia="en-GB"/>
              </w:rPr>
              <w:t> </w:t>
            </w:r>
          </w:p>
        </w:tc>
        <w:tc>
          <w:tcPr>
            <w:tcW w:w="1417" w:type="dxa"/>
            <w:tcBorders>
              <w:top w:val="nil"/>
              <w:left w:val="nil"/>
              <w:bottom w:val="single" w:sz="4" w:space="0" w:color="auto"/>
              <w:right w:val="single" w:sz="4" w:space="0" w:color="auto"/>
            </w:tcBorders>
          </w:tcPr>
          <w:p w:rsidR="004A06F9" w:rsidRPr="00D2586C" w:rsidRDefault="00857180" w:rsidP="00D3048C">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lang w:eastAsia="en-GB"/>
              </w:rPr>
              <w:t>1.2</w:t>
            </w:r>
            <w:r w:rsidR="00936B6A">
              <w:rPr>
                <w:rFonts w:ascii="Calibri" w:eastAsia="Times New Roman" w:hAnsi="Calibri" w:cs="Times New Roman"/>
                <w:lang w:eastAsia="en-GB"/>
              </w:rPr>
              <w:t>3</w:t>
            </w:r>
          </w:p>
        </w:tc>
        <w:tc>
          <w:tcPr>
            <w:tcW w:w="1843" w:type="dxa"/>
            <w:tcBorders>
              <w:top w:val="nil"/>
              <w:left w:val="nil"/>
              <w:bottom w:val="single" w:sz="4" w:space="0" w:color="auto"/>
              <w:right w:val="single" w:sz="4" w:space="0" w:color="auto"/>
            </w:tcBorders>
          </w:tcPr>
          <w:p w:rsidR="004A06F9" w:rsidRPr="00D2586C" w:rsidRDefault="00857180" w:rsidP="00675CAD">
            <w:pPr>
              <w:spacing w:after="0" w:line="240" w:lineRule="auto"/>
              <w:jc w:val="right"/>
              <w:rPr>
                <w:rFonts w:ascii="Calibri" w:eastAsia="Times New Roman" w:hAnsi="Calibri" w:cs="Times New Roman"/>
                <w:color w:val="FF0000"/>
                <w:lang w:eastAsia="en-GB"/>
              </w:rPr>
            </w:pPr>
            <w:r w:rsidRPr="00857180">
              <w:rPr>
                <w:rFonts w:ascii="Calibri" w:eastAsia="Times New Roman" w:hAnsi="Calibri" w:cs="Times New Roman"/>
                <w:lang w:eastAsia="en-GB"/>
              </w:rPr>
              <w:t>15.27</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Jonesborough</w:t>
            </w:r>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1.24</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 </w:t>
            </w:r>
            <w:r w:rsidR="002E7374">
              <w:rPr>
                <w:rFonts w:ascii="Calibri" w:eastAsia="Times New Roman" w:hAnsi="Calibri" w:cs="Times New Roman"/>
                <w:color w:val="000000"/>
                <w:lang w:eastAsia="en-GB"/>
              </w:rPr>
              <w:t>1.24</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 </w:t>
            </w:r>
            <w:r w:rsidR="00D81060">
              <w:rPr>
                <w:rFonts w:ascii="Calibri" w:eastAsia="Times New Roman" w:hAnsi="Calibri" w:cs="Times New Roman"/>
                <w:color w:val="000000"/>
                <w:lang w:eastAsia="en-GB"/>
              </w:rPr>
              <w:t>0.08</w:t>
            </w:r>
          </w:p>
        </w:tc>
        <w:tc>
          <w:tcPr>
            <w:tcW w:w="1417" w:type="dxa"/>
            <w:tcBorders>
              <w:top w:val="nil"/>
              <w:left w:val="nil"/>
              <w:bottom w:val="single" w:sz="4" w:space="0" w:color="auto"/>
              <w:right w:val="single" w:sz="4" w:space="0" w:color="auto"/>
            </w:tcBorders>
          </w:tcPr>
          <w:p w:rsidR="004A06F9" w:rsidRPr="002C4655" w:rsidRDefault="002E7374"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0.00</w:t>
            </w:r>
          </w:p>
        </w:tc>
        <w:tc>
          <w:tcPr>
            <w:tcW w:w="1843" w:type="dxa"/>
            <w:tcBorders>
              <w:top w:val="nil"/>
              <w:left w:val="nil"/>
              <w:bottom w:val="single" w:sz="4" w:space="0" w:color="auto"/>
              <w:right w:val="single" w:sz="4" w:space="0" w:color="auto"/>
            </w:tcBorders>
          </w:tcPr>
          <w:p w:rsidR="004A06F9" w:rsidRPr="002C4655" w:rsidRDefault="002E7374"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0.00</w:t>
            </w:r>
          </w:p>
        </w:tc>
      </w:tr>
      <w:tr w:rsidR="00D2586C" w:rsidRPr="003618ED" w:rsidTr="001C7352">
        <w:trPr>
          <w:trHeight w:val="652"/>
        </w:trPr>
        <w:tc>
          <w:tcPr>
            <w:tcW w:w="2127" w:type="dxa"/>
            <w:tcBorders>
              <w:top w:val="nil"/>
              <w:left w:val="single" w:sz="4" w:space="0" w:color="auto"/>
              <w:bottom w:val="single" w:sz="4" w:space="0" w:color="auto"/>
              <w:right w:val="single" w:sz="4" w:space="0" w:color="auto"/>
            </w:tcBorders>
            <w:shd w:val="clear" w:color="auto" w:fill="auto"/>
            <w:hideMark/>
          </w:tcPr>
          <w:p w:rsidR="00D2586C" w:rsidRPr="002C4655" w:rsidRDefault="00D2586C" w:rsidP="002C4655">
            <w:pPr>
              <w:spacing w:after="0" w:line="240" w:lineRule="auto"/>
              <w:rPr>
                <w:rFonts w:ascii="Calibri" w:eastAsia="Times New Roman" w:hAnsi="Calibri" w:cs="Times New Roman"/>
                <w:b/>
                <w:color w:val="000000"/>
                <w:lang w:eastAsia="en-GB"/>
              </w:rPr>
            </w:pPr>
            <w:r w:rsidRPr="002C4655">
              <w:rPr>
                <w:rFonts w:ascii="Calibri" w:eastAsia="Times New Roman" w:hAnsi="Calibri" w:cs="Times New Roman"/>
                <w:b/>
                <w:color w:val="000000"/>
                <w:lang w:eastAsia="en-GB"/>
              </w:rPr>
              <w:t xml:space="preserve">Newry &amp; </w:t>
            </w:r>
            <w:proofErr w:type="spellStart"/>
            <w:r w:rsidRPr="002C4655">
              <w:rPr>
                <w:rFonts w:ascii="Calibri" w:eastAsia="Times New Roman" w:hAnsi="Calibri" w:cs="Times New Roman"/>
                <w:b/>
                <w:color w:val="000000"/>
                <w:lang w:eastAsia="en-GB"/>
              </w:rPr>
              <w:t>Mourne</w:t>
            </w:r>
            <w:proofErr w:type="spellEnd"/>
            <w:r w:rsidRPr="002C4655">
              <w:rPr>
                <w:rFonts w:ascii="Calibri" w:eastAsia="Times New Roman" w:hAnsi="Calibri" w:cs="Times New Roman"/>
                <w:b/>
                <w:color w:val="000000"/>
                <w:lang w:eastAsia="en-GB"/>
              </w:rPr>
              <w:t xml:space="preserve"> District Total</w:t>
            </w:r>
          </w:p>
        </w:tc>
        <w:tc>
          <w:tcPr>
            <w:tcW w:w="1559" w:type="dxa"/>
            <w:tcBorders>
              <w:top w:val="nil"/>
              <w:left w:val="nil"/>
              <w:bottom w:val="single" w:sz="4" w:space="0" w:color="auto"/>
              <w:right w:val="single" w:sz="4" w:space="0" w:color="auto"/>
            </w:tcBorders>
            <w:shd w:val="clear" w:color="auto" w:fill="auto"/>
            <w:noWrap/>
            <w:hideMark/>
          </w:tcPr>
          <w:p w:rsidR="00D2586C" w:rsidRPr="00453FE5" w:rsidRDefault="00335034" w:rsidP="00675CAD">
            <w:pPr>
              <w:spacing w:after="0" w:line="240" w:lineRule="auto"/>
              <w:jc w:val="right"/>
              <w:rPr>
                <w:rFonts w:ascii="Calibri" w:eastAsia="Times New Roman" w:hAnsi="Calibri" w:cs="Times New Roman"/>
                <w:b/>
                <w:color w:val="000000"/>
                <w:lang w:eastAsia="en-GB"/>
              </w:rPr>
            </w:pPr>
            <w:r w:rsidRPr="00453FE5">
              <w:rPr>
                <w:rFonts w:ascii="Calibri" w:eastAsia="Times New Roman" w:hAnsi="Calibri" w:cs="Times New Roman"/>
                <w:b/>
                <w:color w:val="000000"/>
                <w:lang w:eastAsia="en-GB"/>
              </w:rPr>
              <w:t>168.91</w:t>
            </w:r>
          </w:p>
        </w:tc>
        <w:tc>
          <w:tcPr>
            <w:tcW w:w="1276" w:type="dxa"/>
            <w:tcBorders>
              <w:top w:val="nil"/>
              <w:left w:val="nil"/>
              <w:bottom w:val="single" w:sz="4" w:space="0" w:color="auto"/>
              <w:right w:val="single" w:sz="4" w:space="0" w:color="auto"/>
            </w:tcBorders>
            <w:shd w:val="clear" w:color="auto" w:fill="auto"/>
            <w:noWrap/>
            <w:hideMark/>
          </w:tcPr>
          <w:p w:rsidR="00D2586C" w:rsidRPr="00453FE5" w:rsidRDefault="00310FDC" w:rsidP="00685DFD">
            <w:pPr>
              <w:jc w:val="right"/>
              <w:rPr>
                <w:b/>
                <w:color w:val="FF0000"/>
              </w:rPr>
            </w:pPr>
            <w:r w:rsidRPr="00453FE5">
              <w:rPr>
                <w:b/>
              </w:rPr>
              <w:t>21.02</w:t>
            </w:r>
            <w:r w:rsidR="001977B0" w:rsidRPr="00453FE5">
              <w:rPr>
                <w:b/>
              </w:rPr>
              <w:t xml:space="preserve"> </w:t>
            </w:r>
          </w:p>
        </w:tc>
        <w:tc>
          <w:tcPr>
            <w:tcW w:w="1701" w:type="dxa"/>
            <w:tcBorders>
              <w:top w:val="nil"/>
              <w:left w:val="nil"/>
              <w:bottom w:val="single" w:sz="4" w:space="0" w:color="auto"/>
              <w:right w:val="single" w:sz="4" w:space="0" w:color="auto"/>
            </w:tcBorders>
            <w:shd w:val="clear" w:color="auto" w:fill="auto"/>
            <w:noWrap/>
            <w:hideMark/>
          </w:tcPr>
          <w:p w:rsidR="00D2586C" w:rsidRPr="00453FE5" w:rsidRDefault="00857180" w:rsidP="00675CAD">
            <w:pPr>
              <w:jc w:val="right"/>
              <w:rPr>
                <w:b/>
                <w:color w:val="FF0000"/>
              </w:rPr>
            </w:pPr>
            <w:r w:rsidRPr="00453FE5">
              <w:rPr>
                <w:b/>
              </w:rPr>
              <w:t xml:space="preserve"> </w:t>
            </w:r>
            <w:r w:rsidR="00310FDC" w:rsidRPr="00453FE5">
              <w:rPr>
                <w:b/>
              </w:rPr>
              <w:t>1.4</w:t>
            </w:r>
            <w:r w:rsidR="00C8012A" w:rsidRPr="00453FE5">
              <w:rPr>
                <w:b/>
              </w:rPr>
              <w:t>0</w:t>
            </w:r>
          </w:p>
        </w:tc>
        <w:tc>
          <w:tcPr>
            <w:tcW w:w="1417" w:type="dxa"/>
            <w:tcBorders>
              <w:top w:val="nil"/>
              <w:left w:val="nil"/>
              <w:bottom w:val="single" w:sz="4" w:space="0" w:color="auto"/>
              <w:right w:val="single" w:sz="4" w:space="0" w:color="auto"/>
            </w:tcBorders>
          </w:tcPr>
          <w:p w:rsidR="00D2586C" w:rsidRPr="00453FE5" w:rsidRDefault="00335034" w:rsidP="00675CAD">
            <w:pPr>
              <w:jc w:val="right"/>
              <w:rPr>
                <w:b/>
                <w:color w:val="FF0000"/>
              </w:rPr>
            </w:pPr>
            <w:r w:rsidRPr="00453FE5">
              <w:rPr>
                <w:b/>
              </w:rPr>
              <w:t>13.08</w:t>
            </w:r>
          </w:p>
        </w:tc>
        <w:tc>
          <w:tcPr>
            <w:tcW w:w="1843" w:type="dxa"/>
            <w:tcBorders>
              <w:top w:val="nil"/>
              <w:left w:val="nil"/>
              <w:bottom w:val="single" w:sz="4" w:space="0" w:color="auto"/>
              <w:right w:val="single" w:sz="4" w:space="0" w:color="auto"/>
            </w:tcBorders>
          </w:tcPr>
          <w:p w:rsidR="000A03FB" w:rsidRPr="00453FE5" w:rsidRDefault="00936B6A" w:rsidP="000A03FB">
            <w:pPr>
              <w:jc w:val="right"/>
              <w:rPr>
                <w:b/>
              </w:rPr>
            </w:pPr>
            <w:r w:rsidRPr="00453FE5">
              <w:rPr>
                <w:b/>
              </w:rPr>
              <w:t>132.7</w:t>
            </w:r>
            <w:r w:rsidR="00541C74" w:rsidRPr="00453FE5">
              <w:rPr>
                <w:b/>
              </w:rPr>
              <w:t>8</w:t>
            </w:r>
            <w:r w:rsidR="00335034" w:rsidRPr="00453FE5">
              <w:rPr>
                <w:b/>
              </w:rPr>
              <w:t>[2.03]</w:t>
            </w:r>
          </w:p>
        </w:tc>
      </w:tr>
      <w:tr w:rsidR="004A06F9" w:rsidRPr="002C4655" w:rsidTr="001C7352">
        <w:trPr>
          <w:trHeight w:val="300"/>
        </w:trPr>
        <w:tc>
          <w:tcPr>
            <w:tcW w:w="6663" w:type="dxa"/>
            <w:gridSpan w:val="4"/>
            <w:tcBorders>
              <w:top w:val="nil"/>
              <w:left w:val="single" w:sz="4" w:space="0" w:color="auto"/>
              <w:bottom w:val="single" w:sz="4" w:space="0" w:color="auto"/>
              <w:right w:val="single" w:sz="4" w:space="0" w:color="auto"/>
            </w:tcBorders>
            <w:shd w:val="clear" w:color="auto" w:fill="auto"/>
            <w:noWrap/>
            <w:vAlign w:val="bottom"/>
          </w:tcPr>
          <w:p w:rsidR="00FB3BB6" w:rsidRPr="007173C8" w:rsidRDefault="004A06F9" w:rsidP="00BC4A23">
            <w:pPr>
              <w:spacing w:after="0" w:line="240" w:lineRule="auto"/>
              <w:rPr>
                <w:rFonts w:ascii="Calibri" w:eastAsia="Times New Roman" w:hAnsi="Calibri" w:cs="Times New Roman"/>
                <w:b/>
                <w:color w:val="000000"/>
                <w:lang w:eastAsia="en-GB"/>
              </w:rPr>
            </w:pPr>
            <w:proofErr w:type="spellStart"/>
            <w:r w:rsidRPr="007173C8">
              <w:rPr>
                <w:rFonts w:ascii="Calibri" w:eastAsia="Times New Roman" w:hAnsi="Calibri" w:cs="Times New Roman"/>
                <w:b/>
                <w:color w:val="000000"/>
                <w:lang w:eastAsia="en-GB"/>
              </w:rPr>
              <w:t>Ards</w:t>
            </w:r>
            <w:proofErr w:type="spellEnd"/>
            <w:r w:rsidR="00BC4A23">
              <w:rPr>
                <w:rFonts w:ascii="Calibri" w:eastAsia="Times New Roman" w:hAnsi="Calibri" w:cs="Times New Roman"/>
                <w:b/>
                <w:color w:val="000000"/>
                <w:lang w:eastAsia="en-GB"/>
              </w:rPr>
              <w:t xml:space="preserve"> and </w:t>
            </w:r>
            <w:r w:rsidRPr="007173C8">
              <w:rPr>
                <w:rFonts w:ascii="Calibri" w:eastAsia="Times New Roman" w:hAnsi="Calibri" w:cs="Times New Roman"/>
                <w:b/>
                <w:color w:val="000000"/>
                <w:lang w:eastAsia="en-GB"/>
              </w:rPr>
              <w:t>Down Area Plan 2015</w:t>
            </w:r>
            <w:r>
              <w:rPr>
                <w:rFonts w:ascii="Calibri" w:eastAsia="Times New Roman" w:hAnsi="Calibri" w:cs="Times New Roman"/>
                <w:b/>
                <w:color w:val="000000"/>
                <w:lang w:eastAsia="en-GB"/>
              </w:rPr>
              <w:t>:</w:t>
            </w:r>
            <w:r>
              <w:t xml:space="preserve"> </w:t>
            </w:r>
            <w:r w:rsidR="00FB3BB6" w:rsidRPr="00FB3BB6">
              <w:rPr>
                <w:rFonts w:ascii="Calibri" w:eastAsia="Times New Roman" w:hAnsi="Calibri" w:cs="Times New Roman"/>
                <w:b/>
                <w:color w:val="000000"/>
                <w:lang w:eastAsia="en-GB"/>
              </w:rPr>
              <w:t>based on land developed over the plan period 2000-2015</w:t>
            </w:r>
          </w:p>
        </w:tc>
        <w:tc>
          <w:tcPr>
            <w:tcW w:w="1417" w:type="dxa"/>
            <w:tcBorders>
              <w:top w:val="nil"/>
              <w:left w:val="single" w:sz="4" w:space="0" w:color="auto"/>
              <w:bottom w:val="single" w:sz="4" w:space="0" w:color="auto"/>
              <w:right w:val="single" w:sz="4" w:space="0" w:color="auto"/>
            </w:tcBorders>
          </w:tcPr>
          <w:p w:rsidR="004A06F9" w:rsidRPr="007173C8" w:rsidRDefault="004A06F9" w:rsidP="002C4655">
            <w:pPr>
              <w:spacing w:after="0" w:line="240" w:lineRule="auto"/>
              <w:rPr>
                <w:rFonts w:ascii="Calibri" w:eastAsia="Times New Roman" w:hAnsi="Calibri" w:cs="Times New Roman"/>
                <w:b/>
                <w:color w:val="000000"/>
                <w:lang w:eastAsia="en-GB"/>
              </w:rPr>
            </w:pPr>
          </w:p>
        </w:tc>
        <w:tc>
          <w:tcPr>
            <w:tcW w:w="1843" w:type="dxa"/>
            <w:tcBorders>
              <w:top w:val="nil"/>
              <w:left w:val="single" w:sz="4" w:space="0" w:color="auto"/>
              <w:bottom w:val="single" w:sz="4" w:space="0" w:color="auto"/>
              <w:right w:val="single" w:sz="4" w:space="0" w:color="auto"/>
            </w:tcBorders>
          </w:tcPr>
          <w:p w:rsidR="004A06F9" w:rsidRPr="007173C8" w:rsidRDefault="004A06F9" w:rsidP="002C4655">
            <w:pPr>
              <w:spacing w:after="0" w:line="240" w:lineRule="auto"/>
              <w:rPr>
                <w:rFonts w:ascii="Calibri" w:eastAsia="Times New Roman" w:hAnsi="Calibri" w:cs="Times New Roman"/>
                <w:b/>
                <w:color w:val="000000"/>
                <w:lang w:eastAsia="en-GB"/>
              </w:rPr>
            </w:pP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Downpatrick</w:t>
            </w:r>
          </w:p>
        </w:tc>
        <w:tc>
          <w:tcPr>
            <w:tcW w:w="1559" w:type="dxa"/>
            <w:tcBorders>
              <w:top w:val="nil"/>
              <w:left w:val="nil"/>
              <w:bottom w:val="single" w:sz="4" w:space="0" w:color="auto"/>
              <w:right w:val="single" w:sz="4" w:space="0" w:color="auto"/>
            </w:tcBorders>
            <w:shd w:val="clear" w:color="auto" w:fill="auto"/>
            <w:noWrap/>
            <w:vAlign w:val="bottom"/>
            <w:hideMark/>
          </w:tcPr>
          <w:p w:rsidR="00FE3373" w:rsidRDefault="004E4435"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19.7</w:t>
            </w:r>
            <w:r w:rsidR="00256ABD">
              <w:rPr>
                <w:rFonts w:ascii="Calibri" w:eastAsia="Times New Roman" w:hAnsi="Calibri" w:cs="Times New Roman"/>
                <w:color w:val="000000"/>
                <w:lang w:eastAsia="en-GB"/>
              </w:rPr>
              <w:t xml:space="preserve"> </w:t>
            </w:r>
          </w:p>
          <w:p w:rsidR="004A06F9" w:rsidRPr="002C4655" w:rsidRDefault="00256ABD" w:rsidP="00675CA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(34</w:t>
            </w:r>
            <w:r w:rsidR="00D7693B">
              <w:rPr>
                <w:rFonts w:ascii="Calibri" w:eastAsia="Times New Roman" w:hAnsi="Calibri" w:cs="Times New Roman"/>
                <w:color w:val="000000"/>
                <w:lang w:eastAsia="en-GB"/>
              </w:rPr>
              <w:t>.00</w:t>
            </w:r>
            <w:r w:rsidR="00E1573D">
              <w:rPr>
                <w:rFonts w:ascii="Calibri" w:eastAsia="Times New Roman" w:hAnsi="Calibri" w:cs="Times New Roman"/>
                <w:color w:val="000000"/>
                <w:lang w:eastAsia="en-GB"/>
              </w:rPr>
              <w:t>*</w:t>
            </w:r>
            <w:r w:rsidR="004C5ADD">
              <w:rPr>
                <w:rFonts w:ascii="Calibri" w:eastAsia="Times New Roman" w:hAnsi="Calibri" w:cs="Times New Roman"/>
                <w:color w:val="000000"/>
                <w:lang w:eastAsia="en-GB"/>
              </w:rPr>
              <w:t>*</w:t>
            </w:r>
            <w:r>
              <w:rPr>
                <w:rFonts w:ascii="Calibri" w:eastAsia="Times New Roman" w:hAnsi="Calibri" w:cs="Times New Roman"/>
                <w:color w:val="000000"/>
                <w:lang w:eastAsia="en-GB"/>
              </w:rPr>
              <w:t>)</w:t>
            </w:r>
            <w:r w:rsidR="002E7374">
              <w:rPr>
                <w:rFonts w:ascii="Calibri" w:eastAsia="Times New Roman" w:hAnsi="Calibri" w:cs="Times New Roman"/>
                <w:color w:val="000000"/>
                <w:lang w:eastAsia="en-GB"/>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FE3373" w:rsidRPr="00107343" w:rsidRDefault="00B1240F"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0.73</w:t>
            </w:r>
          </w:p>
          <w:p w:rsidR="004A06F9" w:rsidRPr="00107343" w:rsidRDefault="002E7374"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xml:space="preserve"> </w:t>
            </w:r>
            <w:r w:rsidR="00256ABD" w:rsidRPr="00107343">
              <w:rPr>
                <w:rFonts w:ascii="Calibri" w:eastAsia="Times New Roman" w:hAnsi="Calibri" w:cs="Times New Roman"/>
                <w:color w:val="000000"/>
                <w:lang w:eastAsia="en-GB"/>
              </w:rPr>
              <w:t>(</w:t>
            </w:r>
            <w:r w:rsidR="00590A04" w:rsidRPr="00107343">
              <w:rPr>
                <w:rFonts w:ascii="Calibri" w:eastAsia="Times New Roman" w:hAnsi="Calibri" w:cs="Times New Roman"/>
                <w:color w:val="000000"/>
                <w:lang w:eastAsia="en-GB"/>
              </w:rPr>
              <w:t>5.88</w:t>
            </w:r>
            <w:r w:rsidR="00FE3373" w:rsidRPr="00107343">
              <w:rPr>
                <w:rFonts w:ascii="Calibri" w:eastAsia="Times New Roman" w:hAnsi="Calibri" w:cs="Times New Roman"/>
                <w:color w:val="000000"/>
                <w:lang w:eastAsia="en-GB"/>
              </w:rPr>
              <w:t>**</w:t>
            </w:r>
            <w:r w:rsidR="00D81060" w:rsidRPr="00107343">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bottom"/>
            <w:hideMark/>
          </w:tcPr>
          <w:p w:rsidR="00FE3373" w:rsidRPr="00107343" w:rsidRDefault="004A06F9"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w:t>
            </w:r>
            <w:r w:rsidR="00B1240F" w:rsidRPr="00107343">
              <w:rPr>
                <w:rFonts w:ascii="Calibri" w:eastAsia="Times New Roman" w:hAnsi="Calibri" w:cs="Times New Roman"/>
                <w:color w:val="000000"/>
                <w:lang w:eastAsia="en-GB"/>
              </w:rPr>
              <w:t>0.05</w:t>
            </w:r>
            <w:r w:rsidR="00590A04" w:rsidRPr="00107343">
              <w:rPr>
                <w:rFonts w:ascii="Calibri" w:eastAsia="Times New Roman" w:hAnsi="Calibri" w:cs="Times New Roman"/>
                <w:color w:val="000000"/>
                <w:lang w:eastAsia="en-GB"/>
              </w:rPr>
              <w:t xml:space="preserve"> </w:t>
            </w:r>
          </w:p>
          <w:p w:rsidR="004A06F9" w:rsidRPr="00107343" w:rsidRDefault="00590A04"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(0.39</w:t>
            </w:r>
            <w:r w:rsidR="004C5ADD" w:rsidRPr="00107343">
              <w:rPr>
                <w:rFonts w:ascii="Calibri" w:eastAsia="Times New Roman" w:hAnsi="Calibri" w:cs="Times New Roman"/>
                <w:color w:val="000000"/>
                <w:lang w:eastAsia="en-GB"/>
              </w:rPr>
              <w:t>**</w:t>
            </w:r>
            <w:r w:rsidR="00D81060" w:rsidRPr="00107343">
              <w:rPr>
                <w:rFonts w:ascii="Calibri" w:eastAsia="Times New Roman" w:hAnsi="Calibri" w:cs="Times New Roman"/>
                <w:color w:val="000000"/>
                <w:lang w:eastAsia="en-GB"/>
              </w:rPr>
              <w:t>)</w:t>
            </w:r>
          </w:p>
        </w:tc>
        <w:tc>
          <w:tcPr>
            <w:tcW w:w="1417" w:type="dxa"/>
            <w:tcBorders>
              <w:top w:val="nil"/>
              <w:left w:val="nil"/>
              <w:bottom w:val="single" w:sz="4" w:space="0" w:color="auto"/>
              <w:right w:val="single" w:sz="4" w:space="0" w:color="auto"/>
            </w:tcBorders>
          </w:tcPr>
          <w:p w:rsidR="004A06F9" w:rsidRPr="00107343" w:rsidRDefault="00B1240F"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1.84</w:t>
            </w:r>
          </w:p>
          <w:p w:rsidR="00453FE5" w:rsidRPr="00107343" w:rsidRDefault="00453FE5"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(7.53**)</w:t>
            </w:r>
          </w:p>
        </w:tc>
        <w:tc>
          <w:tcPr>
            <w:tcW w:w="1843" w:type="dxa"/>
            <w:tcBorders>
              <w:top w:val="nil"/>
              <w:left w:val="nil"/>
              <w:bottom w:val="single" w:sz="4" w:space="0" w:color="auto"/>
              <w:right w:val="single" w:sz="4" w:space="0" w:color="auto"/>
            </w:tcBorders>
          </w:tcPr>
          <w:p w:rsidR="00FA5842" w:rsidRPr="00107343" w:rsidRDefault="00590A04"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16.83</w:t>
            </w:r>
            <w:r w:rsidR="00B1240F" w:rsidRPr="00107343">
              <w:rPr>
                <w:rFonts w:ascii="Calibri" w:eastAsia="Times New Roman" w:hAnsi="Calibri" w:cs="Times New Roman"/>
                <w:color w:val="000000"/>
                <w:lang w:eastAsia="en-GB"/>
              </w:rPr>
              <w:t>[0.3]</w:t>
            </w:r>
            <w:r w:rsidR="00FB3BB6" w:rsidRPr="00107343">
              <w:rPr>
                <w:rFonts w:ascii="Calibri" w:eastAsia="Times New Roman" w:hAnsi="Calibri" w:cs="Times New Roman"/>
                <w:color w:val="000000"/>
                <w:lang w:eastAsia="en-GB"/>
              </w:rPr>
              <w:t xml:space="preserve"> </w:t>
            </w:r>
          </w:p>
          <w:p w:rsidR="004A06F9" w:rsidRPr="00107343" w:rsidRDefault="001458A1"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(20.51**</w:t>
            </w:r>
            <w:r w:rsidR="00FB3BB6" w:rsidRPr="00107343">
              <w:rPr>
                <w:rFonts w:ascii="Calibri" w:eastAsia="Times New Roman" w:hAnsi="Calibri" w:cs="Times New Roman"/>
                <w:color w:val="000000"/>
                <w:lang w:eastAsia="en-GB"/>
              </w:rPr>
              <w:t>)</w:t>
            </w:r>
            <w:r w:rsidR="00B1240F" w:rsidRPr="00107343">
              <w:rPr>
                <w:rFonts w:ascii="Calibri" w:eastAsia="Times New Roman" w:hAnsi="Calibri" w:cs="Times New Roman"/>
                <w:color w:val="000000"/>
                <w:lang w:eastAsia="en-GB"/>
              </w:rPr>
              <w:t>[0.08]</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proofErr w:type="spellStart"/>
            <w:r w:rsidRPr="002C4655">
              <w:rPr>
                <w:rFonts w:ascii="Calibri" w:eastAsia="Times New Roman" w:hAnsi="Calibri" w:cs="Times New Roman"/>
                <w:color w:val="000000"/>
                <w:lang w:eastAsia="en-GB"/>
              </w:rPr>
              <w:t>Ballynahinch</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5</w:t>
            </w:r>
            <w:r>
              <w:rPr>
                <w:rFonts w:ascii="Calibri" w:eastAsia="Times New Roman" w:hAnsi="Calibri" w:cs="Times New Roman"/>
                <w:color w:val="000000"/>
                <w:lang w:eastAsia="en-GB"/>
              </w:rPr>
              <w:t>.05</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107343" w:rsidRDefault="004A06F9"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w:t>
            </w:r>
            <w:r w:rsidR="00B27BDE" w:rsidRPr="00107343">
              <w:rPr>
                <w:rFonts w:ascii="Calibri" w:eastAsia="Times New Roman" w:hAnsi="Calibri" w:cs="Times New Roman"/>
                <w:color w:val="000000"/>
                <w:lang w:eastAsia="en-GB"/>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107343" w:rsidRDefault="004A06F9"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w:t>
            </w:r>
            <w:r w:rsidR="00B27BDE" w:rsidRPr="00107343">
              <w:rPr>
                <w:rFonts w:ascii="Calibri" w:eastAsia="Times New Roman" w:hAnsi="Calibri" w:cs="Times New Roman"/>
                <w:color w:val="000000"/>
                <w:lang w:eastAsia="en-GB"/>
              </w:rPr>
              <w:t>0.00</w:t>
            </w:r>
          </w:p>
        </w:tc>
        <w:tc>
          <w:tcPr>
            <w:tcW w:w="1417" w:type="dxa"/>
            <w:tcBorders>
              <w:top w:val="nil"/>
              <w:left w:val="nil"/>
              <w:bottom w:val="single" w:sz="4" w:space="0" w:color="auto"/>
              <w:right w:val="single" w:sz="4" w:space="0" w:color="auto"/>
            </w:tcBorders>
          </w:tcPr>
          <w:p w:rsidR="004A06F9" w:rsidRPr="00107343" w:rsidRDefault="00B1240F"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0.3</w:t>
            </w:r>
            <w:r w:rsidR="002E7374" w:rsidRPr="00107343">
              <w:rPr>
                <w:rFonts w:ascii="Calibri" w:eastAsia="Times New Roman" w:hAnsi="Calibri" w:cs="Times New Roman"/>
                <w:color w:val="000000"/>
                <w:lang w:eastAsia="en-GB"/>
              </w:rPr>
              <w:t>0</w:t>
            </w:r>
          </w:p>
        </w:tc>
        <w:tc>
          <w:tcPr>
            <w:tcW w:w="1843" w:type="dxa"/>
            <w:tcBorders>
              <w:top w:val="nil"/>
              <w:left w:val="nil"/>
              <w:bottom w:val="single" w:sz="4" w:space="0" w:color="auto"/>
              <w:right w:val="single" w:sz="4" w:space="0" w:color="auto"/>
            </w:tcBorders>
          </w:tcPr>
          <w:p w:rsidR="004A06F9" w:rsidRPr="00107343" w:rsidRDefault="00453FE5"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4.75</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Newcastle</w:t>
            </w:r>
          </w:p>
        </w:tc>
        <w:tc>
          <w:tcPr>
            <w:tcW w:w="1559" w:type="dxa"/>
            <w:tcBorders>
              <w:top w:val="nil"/>
              <w:left w:val="nil"/>
              <w:bottom w:val="single" w:sz="4" w:space="0" w:color="auto"/>
              <w:right w:val="single" w:sz="4" w:space="0" w:color="auto"/>
            </w:tcBorders>
            <w:shd w:val="clear" w:color="auto" w:fill="auto"/>
            <w:noWrap/>
            <w:vAlign w:val="bottom"/>
            <w:hideMark/>
          </w:tcPr>
          <w:p w:rsidR="004A06F9" w:rsidRPr="002C4655" w:rsidRDefault="004A06F9" w:rsidP="00675CAD">
            <w:pPr>
              <w:spacing w:after="0" w:line="240" w:lineRule="auto"/>
              <w:jc w:val="right"/>
              <w:rPr>
                <w:rFonts w:ascii="Calibri" w:eastAsia="Times New Roman" w:hAnsi="Calibri" w:cs="Times New Roman"/>
                <w:color w:val="000000"/>
                <w:lang w:eastAsia="en-GB"/>
              </w:rPr>
            </w:pPr>
            <w:r w:rsidRPr="002C4655">
              <w:rPr>
                <w:rFonts w:ascii="Calibri" w:eastAsia="Times New Roman" w:hAnsi="Calibri" w:cs="Times New Roman"/>
                <w:color w:val="000000"/>
                <w:lang w:eastAsia="en-GB"/>
              </w:rPr>
              <w:t>0.3</w:t>
            </w:r>
            <w:r w:rsidR="00D7693B">
              <w:rPr>
                <w:rFonts w:ascii="Calibri" w:eastAsia="Times New Roman" w:hAnsi="Calibri" w:cs="Times New Roman"/>
                <w:color w:val="000000"/>
                <w:lang w:eastAsia="en-GB"/>
              </w:rPr>
              <w:t>3</w:t>
            </w:r>
          </w:p>
        </w:tc>
        <w:tc>
          <w:tcPr>
            <w:tcW w:w="1276" w:type="dxa"/>
            <w:tcBorders>
              <w:top w:val="nil"/>
              <w:left w:val="nil"/>
              <w:bottom w:val="single" w:sz="4" w:space="0" w:color="auto"/>
              <w:right w:val="single" w:sz="4" w:space="0" w:color="auto"/>
            </w:tcBorders>
            <w:shd w:val="clear" w:color="auto" w:fill="auto"/>
            <w:noWrap/>
            <w:vAlign w:val="bottom"/>
            <w:hideMark/>
          </w:tcPr>
          <w:p w:rsidR="004A06F9" w:rsidRPr="00107343" w:rsidRDefault="004A06F9"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w:t>
            </w:r>
            <w:r w:rsidR="00B27BDE" w:rsidRPr="00107343">
              <w:rPr>
                <w:rFonts w:ascii="Calibri" w:eastAsia="Times New Roman" w:hAnsi="Calibri" w:cs="Times New Roman"/>
                <w:color w:val="000000"/>
                <w:lang w:eastAsia="en-GB"/>
              </w:rPr>
              <w:t>0.3</w:t>
            </w:r>
            <w:r w:rsidR="00936B6A" w:rsidRPr="00107343">
              <w:rPr>
                <w:rFonts w:ascii="Calibri" w:eastAsia="Times New Roman" w:hAnsi="Calibri" w:cs="Times New Roman"/>
                <w:color w:val="000000"/>
                <w:lang w:eastAsia="en-GB"/>
              </w:rPr>
              <w:t>3</w:t>
            </w:r>
          </w:p>
        </w:tc>
        <w:tc>
          <w:tcPr>
            <w:tcW w:w="1701" w:type="dxa"/>
            <w:tcBorders>
              <w:top w:val="nil"/>
              <w:left w:val="nil"/>
              <w:bottom w:val="single" w:sz="4" w:space="0" w:color="auto"/>
              <w:right w:val="single" w:sz="4" w:space="0" w:color="auto"/>
            </w:tcBorders>
            <w:shd w:val="clear" w:color="auto" w:fill="auto"/>
            <w:noWrap/>
            <w:vAlign w:val="bottom"/>
            <w:hideMark/>
          </w:tcPr>
          <w:p w:rsidR="004A06F9" w:rsidRPr="00107343" w:rsidRDefault="004A06F9"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 </w:t>
            </w:r>
            <w:r w:rsidR="00D81060" w:rsidRPr="00107343">
              <w:rPr>
                <w:rFonts w:ascii="Calibri" w:eastAsia="Times New Roman" w:hAnsi="Calibri" w:cs="Times New Roman"/>
                <w:color w:val="000000"/>
                <w:lang w:eastAsia="en-GB"/>
              </w:rPr>
              <w:t>0.02</w:t>
            </w:r>
          </w:p>
        </w:tc>
        <w:tc>
          <w:tcPr>
            <w:tcW w:w="1417" w:type="dxa"/>
            <w:tcBorders>
              <w:top w:val="nil"/>
              <w:left w:val="nil"/>
              <w:bottom w:val="single" w:sz="4" w:space="0" w:color="auto"/>
              <w:right w:val="single" w:sz="4" w:space="0" w:color="auto"/>
            </w:tcBorders>
          </w:tcPr>
          <w:p w:rsidR="004A06F9" w:rsidRPr="00107343" w:rsidRDefault="002E7374"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0.00</w:t>
            </w:r>
          </w:p>
        </w:tc>
        <w:tc>
          <w:tcPr>
            <w:tcW w:w="1843" w:type="dxa"/>
            <w:tcBorders>
              <w:top w:val="nil"/>
              <w:left w:val="nil"/>
              <w:bottom w:val="single" w:sz="4" w:space="0" w:color="auto"/>
              <w:right w:val="single" w:sz="4" w:space="0" w:color="auto"/>
            </w:tcBorders>
          </w:tcPr>
          <w:p w:rsidR="004A06F9" w:rsidRPr="00107343" w:rsidRDefault="002E7374" w:rsidP="00675CAD">
            <w:pPr>
              <w:spacing w:after="0" w:line="240" w:lineRule="auto"/>
              <w:jc w:val="right"/>
              <w:rPr>
                <w:rFonts w:ascii="Calibri" w:eastAsia="Times New Roman" w:hAnsi="Calibri" w:cs="Times New Roman"/>
                <w:color w:val="000000"/>
                <w:lang w:eastAsia="en-GB"/>
              </w:rPr>
            </w:pPr>
            <w:r w:rsidRPr="00107343">
              <w:rPr>
                <w:rFonts w:ascii="Calibri" w:eastAsia="Times New Roman" w:hAnsi="Calibri" w:cs="Times New Roman"/>
                <w:color w:val="000000"/>
                <w:lang w:eastAsia="en-GB"/>
              </w:rPr>
              <w:t>0.00</w:t>
            </w:r>
          </w:p>
        </w:tc>
      </w:tr>
      <w:tr w:rsidR="004A06F9" w:rsidRPr="002C4655"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b/>
                <w:color w:val="000000"/>
                <w:lang w:eastAsia="en-GB"/>
              </w:rPr>
            </w:pPr>
            <w:r w:rsidRPr="002C4655">
              <w:rPr>
                <w:rFonts w:ascii="Calibri" w:eastAsia="Times New Roman" w:hAnsi="Calibri" w:cs="Times New Roman"/>
                <w:b/>
                <w:color w:val="000000"/>
                <w:lang w:eastAsia="en-GB"/>
              </w:rPr>
              <w:t>Down District Total</w:t>
            </w:r>
          </w:p>
        </w:tc>
        <w:tc>
          <w:tcPr>
            <w:tcW w:w="1559" w:type="dxa"/>
            <w:tcBorders>
              <w:top w:val="nil"/>
              <w:left w:val="nil"/>
              <w:bottom w:val="single" w:sz="4" w:space="0" w:color="auto"/>
              <w:right w:val="single" w:sz="4" w:space="0" w:color="auto"/>
            </w:tcBorders>
            <w:shd w:val="clear" w:color="auto" w:fill="auto"/>
            <w:noWrap/>
            <w:vAlign w:val="bottom"/>
            <w:hideMark/>
          </w:tcPr>
          <w:p w:rsidR="00FE3373" w:rsidRPr="00453FE5" w:rsidRDefault="004A06F9" w:rsidP="00675CAD">
            <w:pPr>
              <w:spacing w:after="0" w:line="240" w:lineRule="auto"/>
              <w:jc w:val="right"/>
              <w:rPr>
                <w:rFonts w:ascii="Calibri" w:eastAsia="Times New Roman" w:hAnsi="Calibri" w:cs="Times New Roman"/>
                <w:b/>
                <w:color w:val="000000"/>
                <w:lang w:eastAsia="en-GB"/>
              </w:rPr>
            </w:pPr>
            <w:r w:rsidRPr="00453FE5">
              <w:rPr>
                <w:rFonts w:ascii="Calibri" w:eastAsia="Times New Roman" w:hAnsi="Calibri" w:cs="Times New Roman"/>
                <w:b/>
                <w:color w:val="000000"/>
                <w:lang w:eastAsia="en-GB"/>
              </w:rPr>
              <w:t>25</w:t>
            </w:r>
            <w:r w:rsidR="00D7693B" w:rsidRPr="00453FE5">
              <w:rPr>
                <w:rFonts w:ascii="Calibri" w:eastAsia="Times New Roman" w:hAnsi="Calibri" w:cs="Times New Roman"/>
                <w:b/>
                <w:color w:val="000000"/>
                <w:lang w:eastAsia="en-GB"/>
              </w:rPr>
              <w:t>.08</w:t>
            </w:r>
          </w:p>
          <w:p w:rsidR="004A06F9" w:rsidRPr="00453FE5" w:rsidRDefault="004C5ADD" w:rsidP="00675CAD">
            <w:pPr>
              <w:spacing w:after="0" w:line="240" w:lineRule="auto"/>
              <w:jc w:val="right"/>
              <w:rPr>
                <w:rFonts w:ascii="Calibri" w:eastAsia="Times New Roman" w:hAnsi="Calibri" w:cs="Times New Roman"/>
                <w:b/>
                <w:color w:val="000000"/>
                <w:lang w:eastAsia="en-GB"/>
              </w:rPr>
            </w:pPr>
            <w:r w:rsidRPr="00453FE5">
              <w:rPr>
                <w:rFonts w:ascii="Calibri" w:eastAsia="Times New Roman" w:hAnsi="Calibri" w:cs="Times New Roman"/>
                <w:b/>
                <w:color w:val="000000"/>
                <w:lang w:eastAsia="en-GB"/>
              </w:rPr>
              <w:t xml:space="preserve"> (34</w:t>
            </w:r>
            <w:r w:rsidR="00D7693B" w:rsidRPr="00453FE5">
              <w:rPr>
                <w:rFonts w:ascii="Calibri" w:eastAsia="Times New Roman" w:hAnsi="Calibri" w:cs="Times New Roman"/>
                <w:b/>
                <w:color w:val="000000"/>
                <w:lang w:eastAsia="en-GB"/>
              </w:rPr>
              <w:t>.00</w:t>
            </w:r>
            <w:r w:rsidRPr="00453FE5">
              <w:rPr>
                <w:rFonts w:ascii="Calibri" w:eastAsia="Times New Roman" w:hAnsi="Calibri" w:cs="Times New Roman"/>
                <w:b/>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rsidR="00453FE5" w:rsidRPr="00107343" w:rsidRDefault="004A06F9" w:rsidP="00675CAD">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 </w:t>
            </w:r>
            <w:r w:rsidR="00B1240F" w:rsidRPr="00107343">
              <w:rPr>
                <w:rFonts w:ascii="Calibri" w:eastAsia="Times New Roman" w:hAnsi="Calibri" w:cs="Times New Roman"/>
                <w:b/>
                <w:color w:val="000000"/>
                <w:lang w:eastAsia="en-GB"/>
              </w:rPr>
              <w:t>1.06</w:t>
            </w:r>
            <w:r w:rsidR="00CD2613" w:rsidRPr="00107343">
              <w:rPr>
                <w:rFonts w:ascii="Calibri" w:eastAsia="Times New Roman" w:hAnsi="Calibri" w:cs="Times New Roman"/>
                <w:b/>
                <w:color w:val="000000"/>
                <w:lang w:eastAsia="en-GB"/>
              </w:rPr>
              <w:t xml:space="preserve"> </w:t>
            </w:r>
          </w:p>
          <w:p w:rsidR="004A06F9" w:rsidRPr="00107343" w:rsidRDefault="00CD2613" w:rsidP="00675CAD">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w:t>
            </w:r>
            <w:r w:rsidR="00AA7ADA" w:rsidRPr="00107343">
              <w:rPr>
                <w:rFonts w:ascii="Calibri" w:eastAsia="Times New Roman" w:hAnsi="Calibri" w:cs="Times New Roman"/>
                <w:b/>
                <w:color w:val="000000"/>
                <w:lang w:eastAsia="en-GB"/>
              </w:rPr>
              <w:t>5.88</w:t>
            </w:r>
            <w:r w:rsidR="00FE3373" w:rsidRPr="00107343">
              <w:rPr>
                <w:rFonts w:ascii="Calibri" w:eastAsia="Times New Roman" w:hAnsi="Calibri" w:cs="Times New Roman"/>
                <w:b/>
                <w:color w:val="000000"/>
                <w:lang w:eastAsia="en-GB"/>
              </w:rPr>
              <w:t>**</w:t>
            </w:r>
            <w:r w:rsidRPr="00107343">
              <w:rPr>
                <w:rFonts w:ascii="Calibri" w:eastAsia="Times New Roman" w:hAnsi="Calibri" w:cs="Times New Roman"/>
                <w:b/>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bottom"/>
            <w:hideMark/>
          </w:tcPr>
          <w:p w:rsidR="00FE3373" w:rsidRPr="00107343" w:rsidRDefault="004A06F9" w:rsidP="00675CAD">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 </w:t>
            </w:r>
            <w:r w:rsidR="00CD2613" w:rsidRPr="00107343">
              <w:rPr>
                <w:rFonts w:ascii="Calibri" w:eastAsia="Times New Roman" w:hAnsi="Calibri" w:cs="Times New Roman"/>
                <w:b/>
                <w:color w:val="000000"/>
                <w:lang w:eastAsia="en-GB"/>
              </w:rPr>
              <w:t>0.</w:t>
            </w:r>
            <w:r w:rsidR="00B1240F" w:rsidRPr="00107343">
              <w:rPr>
                <w:rFonts w:ascii="Calibri" w:eastAsia="Times New Roman" w:hAnsi="Calibri" w:cs="Times New Roman"/>
                <w:b/>
                <w:color w:val="000000"/>
                <w:lang w:eastAsia="en-GB"/>
              </w:rPr>
              <w:t>07</w:t>
            </w:r>
            <w:r w:rsidR="00CD2613" w:rsidRPr="00107343">
              <w:rPr>
                <w:rFonts w:ascii="Calibri" w:eastAsia="Times New Roman" w:hAnsi="Calibri" w:cs="Times New Roman"/>
                <w:b/>
                <w:color w:val="000000"/>
                <w:lang w:eastAsia="en-GB"/>
              </w:rPr>
              <w:t xml:space="preserve"> </w:t>
            </w:r>
          </w:p>
          <w:p w:rsidR="004A06F9" w:rsidRPr="00107343" w:rsidRDefault="00E41C6C" w:rsidP="00E41C6C">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(0.39</w:t>
            </w:r>
            <w:r w:rsidR="004C5ADD" w:rsidRPr="00107343">
              <w:rPr>
                <w:rFonts w:ascii="Calibri" w:eastAsia="Times New Roman" w:hAnsi="Calibri" w:cs="Times New Roman"/>
                <w:b/>
                <w:color w:val="000000"/>
                <w:lang w:eastAsia="en-GB"/>
              </w:rPr>
              <w:t>**</w:t>
            </w:r>
            <w:r w:rsidR="00CD2613" w:rsidRPr="00107343">
              <w:rPr>
                <w:rFonts w:ascii="Calibri" w:eastAsia="Times New Roman" w:hAnsi="Calibri" w:cs="Times New Roman"/>
                <w:b/>
                <w:color w:val="000000"/>
                <w:lang w:eastAsia="en-GB"/>
              </w:rPr>
              <w:t>)</w:t>
            </w:r>
          </w:p>
        </w:tc>
        <w:tc>
          <w:tcPr>
            <w:tcW w:w="1417" w:type="dxa"/>
            <w:tcBorders>
              <w:top w:val="nil"/>
              <w:left w:val="nil"/>
              <w:bottom w:val="single" w:sz="4" w:space="0" w:color="auto"/>
              <w:right w:val="single" w:sz="4" w:space="0" w:color="auto"/>
            </w:tcBorders>
          </w:tcPr>
          <w:p w:rsidR="004A06F9" w:rsidRPr="00107343" w:rsidRDefault="00B1240F" w:rsidP="00675CAD">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2.14  (7.53**)</w:t>
            </w:r>
          </w:p>
        </w:tc>
        <w:tc>
          <w:tcPr>
            <w:tcW w:w="1843" w:type="dxa"/>
            <w:tcBorders>
              <w:top w:val="nil"/>
              <w:left w:val="nil"/>
              <w:bottom w:val="single" w:sz="4" w:space="0" w:color="auto"/>
              <w:right w:val="single" w:sz="4" w:space="0" w:color="auto"/>
            </w:tcBorders>
          </w:tcPr>
          <w:p w:rsidR="00FA5842" w:rsidRPr="00107343" w:rsidRDefault="00453FE5" w:rsidP="00675CAD">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21.5</w:t>
            </w:r>
            <w:r w:rsidR="001458A1" w:rsidRPr="00107343">
              <w:rPr>
                <w:rFonts w:ascii="Calibri" w:eastAsia="Times New Roman" w:hAnsi="Calibri" w:cs="Times New Roman"/>
                <w:b/>
                <w:color w:val="000000"/>
                <w:lang w:eastAsia="en-GB"/>
              </w:rPr>
              <w:t>8</w:t>
            </w:r>
            <w:r w:rsidR="001C7352" w:rsidRPr="00107343">
              <w:rPr>
                <w:rFonts w:ascii="Calibri" w:eastAsia="Times New Roman" w:hAnsi="Calibri" w:cs="Times New Roman"/>
                <w:b/>
                <w:color w:val="000000"/>
                <w:lang w:eastAsia="en-GB"/>
              </w:rPr>
              <w:t>[0.3]</w:t>
            </w:r>
            <w:r w:rsidR="00EB344E" w:rsidRPr="00107343">
              <w:rPr>
                <w:rFonts w:ascii="Calibri" w:eastAsia="Times New Roman" w:hAnsi="Calibri" w:cs="Times New Roman"/>
                <w:b/>
                <w:color w:val="000000"/>
                <w:lang w:eastAsia="en-GB"/>
              </w:rPr>
              <w:t xml:space="preserve"> </w:t>
            </w:r>
          </w:p>
          <w:p w:rsidR="004A06F9" w:rsidRPr="00107343" w:rsidRDefault="00E41C6C" w:rsidP="00E41C6C">
            <w:pPr>
              <w:spacing w:after="0" w:line="240" w:lineRule="auto"/>
              <w:jc w:val="right"/>
              <w:rPr>
                <w:rFonts w:ascii="Calibri" w:eastAsia="Times New Roman" w:hAnsi="Calibri" w:cs="Times New Roman"/>
                <w:b/>
                <w:color w:val="000000"/>
                <w:lang w:eastAsia="en-GB"/>
              </w:rPr>
            </w:pPr>
            <w:r w:rsidRPr="00107343">
              <w:rPr>
                <w:rFonts w:ascii="Calibri" w:eastAsia="Times New Roman" w:hAnsi="Calibri" w:cs="Times New Roman"/>
                <w:b/>
                <w:color w:val="000000"/>
                <w:lang w:eastAsia="en-GB"/>
              </w:rPr>
              <w:t>(20.51</w:t>
            </w:r>
            <w:r w:rsidR="001458A1" w:rsidRPr="00107343">
              <w:rPr>
                <w:rFonts w:ascii="Calibri" w:eastAsia="Times New Roman" w:hAnsi="Calibri" w:cs="Times New Roman"/>
                <w:b/>
                <w:color w:val="000000"/>
                <w:lang w:eastAsia="en-GB"/>
              </w:rPr>
              <w:t>**</w:t>
            </w:r>
            <w:r w:rsidR="00EB344E" w:rsidRPr="00107343">
              <w:rPr>
                <w:rFonts w:ascii="Calibri" w:eastAsia="Times New Roman" w:hAnsi="Calibri" w:cs="Times New Roman"/>
                <w:b/>
                <w:color w:val="000000"/>
                <w:lang w:eastAsia="en-GB"/>
              </w:rPr>
              <w:t>)</w:t>
            </w:r>
            <w:r w:rsidR="001C7352" w:rsidRPr="00107343">
              <w:rPr>
                <w:rFonts w:ascii="Calibri" w:eastAsia="Times New Roman" w:hAnsi="Calibri" w:cs="Times New Roman"/>
                <w:b/>
                <w:color w:val="000000"/>
                <w:lang w:eastAsia="en-GB"/>
              </w:rPr>
              <w:t>[0.08]</w:t>
            </w:r>
          </w:p>
        </w:tc>
      </w:tr>
      <w:tr w:rsidR="004A06F9" w:rsidRPr="00580833" w:rsidTr="001C735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4A06F9" w:rsidRPr="002C4655" w:rsidRDefault="004A06F9" w:rsidP="002C465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NMD</w:t>
            </w:r>
            <w:r w:rsidRPr="002C4655">
              <w:rPr>
                <w:rFonts w:ascii="Calibri" w:eastAsia="Times New Roman" w:hAnsi="Calibri" w:cs="Times New Roman"/>
                <w:b/>
                <w:color w:val="000000"/>
                <w:lang w:eastAsia="en-GB"/>
              </w:rPr>
              <w:t xml:space="preserve"> Total </w:t>
            </w:r>
          </w:p>
        </w:tc>
        <w:tc>
          <w:tcPr>
            <w:tcW w:w="1559" w:type="dxa"/>
            <w:tcBorders>
              <w:top w:val="nil"/>
              <w:left w:val="nil"/>
              <w:bottom w:val="single" w:sz="4" w:space="0" w:color="auto"/>
              <w:right w:val="single" w:sz="4" w:space="0" w:color="auto"/>
            </w:tcBorders>
            <w:shd w:val="clear" w:color="auto" w:fill="auto"/>
            <w:noWrap/>
            <w:hideMark/>
          </w:tcPr>
          <w:p w:rsidR="004A06F9" w:rsidRPr="00453FE5" w:rsidRDefault="00936B6A" w:rsidP="00675CAD">
            <w:pPr>
              <w:spacing w:after="0" w:line="240" w:lineRule="auto"/>
              <w:jc w:val="right"/>
              <w:rPr>
                <w:rFonts w:ascii="Calibri" w:eastAsia="Times New Roman" w:hAnsi="Calibri" w:cs="Times New Roman"/>
                <w:b/>
                <w:color w:val="FF0000"/>
                <w:lang w:eastAsia="en-GB"/>
              </w:rPr>
            </w:pPr>
            <w:r w:rsidRPr="00453FE5">
              <w:rPr>
                <w:rFonts w:ascii="Calibri" w:eastAsia="Times New Roman" w:hAnsi="Calibri" w:cs="Times New Roman"/>
                <w:b/>
                <w:lang w:eastAsia="en-GB"/>
              </w:rPr>
              <w:t>193.99</w:t>
            </w:r>
            <w:r w:rsidR="001C7352">
              <w:rPr>
                <w:rFonts w:ascii="Calibri" w:eastAsia="Times New Roman" w:hAnsi="Calibri" w:cs="Times New Roman"/>
                <w:b/>
                <w:lang w:eastAsia="en-GB"/>
              </w:rPr>
              <w:t xml:space="preserve"> (227.</w:t>
            </w:r>
            <w:r w:rsidR="001C7352" w:rsidRPr="00107343">
              <w:rPr>
                <w:rFonts w:ascii="Calibri" w:eastAsia="Times New Roman" w:hAnsi="Calibri" w:cs="Times New Roman"/>
                <w:b/>
                <w:lang w:eastAsia="en-GB"/>
              </w:rPr>
              <w:t>99</w:t>
            </w:r>
            <w:r w:rsidR="00E41C6C" w:rsidRPr="00453FE5">
              <w:rPr>
                <w:rFonts w:ascii="Calibri" w:eastAsia="Times New Roman" w:hAnsi="Calibri" w:cs="Times New Roman"/>
                <w:b/>
                <w:lang w:eastAsia="en-GB"/>
              </w:rPr>
              <w:t>*</w:t>
            </w:r>
            <w:r w:rsidR="00517B7D" w:rsidRPr="00453FE5">
              <w:rPr>
                <w:rFonts w:ascii="Calibri" w:eastAsia="Times New Roman" w:hAnsi="Calibri" w:cs="Times New Roman"/>
                <w:b/>
                <w:lang w:eastAsia="en-GB"/>
              </w:rPr>
              <w:t>*</w:t>
            </w:r>
            <w:r w:rsidR="00E1573D" w:rsidRPr="00453FE5">
              <w:rPr>
                <w:rFonts w:ascii="Calibri" w:eastAsia="Times New Roman" w:hAnsi="Calibri" w:cs="Times New Roman"/>
                <w:b/>
                <w:lang w:eastAsia="en-GB"/>
              </w:rPr>
              <w:t>*</w:t>
            </w:r>
            <w:r w:rsidR="004C5ADD" w:rsidRPr="00453FE5">
              <w:rPr>
                <w:rFonts w:ascii="Calibri" w:eastAsia="Times New Roman" w:hAnsi="Calibri" w:cs="Times New Roman"/>
                <w:b/>
                <w:lang w:eastAsia="en-GB"/>
              </w:rPr>
              <w:t>)</w:t>
            </w:r>
          </w:p>
        </w:tc>
        <w:tc>
          <w:tcPr>
            <w:tcW w:w="1276" w:type="dxa"/>
            <w:tcBorders>
              <w:top w:val="nil"/>
              <w:left w:val="nil"/>
              <w:bottom w:val="single" w:sz="4" w:space="0" w:color="auto"/>
              <w:right w:val="single" w:sz="4" w:space="0" w:color="auto"/>
            </w:tcBorders>
            <w:shd w:val="clear" w:color="auto" w:fill="auto"/>
            <w:noWrap/>
            <w:hideMark/>
          </w:tcPr>
          <w:p w:rsidR="004A06F9" w:rsidRPr="00107343" w:rsidRDefault="001C7352" w:rsidP="00AA7ADA">
            <w:pPr>
              <w:spacing w:after="0" w:line="240" w:lineRule="auto"/>
              <w:jc w:val="center"/>
              <w:rPr>
                <w:rFonts w:ascii="Calibri" w:eastAsia="Times New Roman" w:hAnsi="Calibri" w:cs="Times New Roman"/>
                <w:b/>
                <w:color w:val="FF0000"/>
                <w:lang w:eastAsia="en-GB"/>
              </w:rPr>
            </w:pPr>
            <w:r w:rsidRPr="00107343">
              <w:rPr>
                <w:rFonts w:ascii="Calibri" w:eastAsia="Times New Roman" w:hAnsi="Calibri" w:cs="Times New Roman"/>
                <w:b/>
                <w:lang w:eastAsia="en-GB"/>
              </w:rPr>
              <w:t>22.08</w:t>
            </w:r>
            <w:r w:rsidR="003618ED" w:rsidRPr="00107343">
              <w:rPr>
                <w:rFonts w:ascii="Calibri" w:eastAsia="Times New Roman" w:hAnsi="Calibri" w:cs="Times New Roman"/>
                <w:b/>
                <w:lang w:eastAsia="en-GB"/>
              </w:rPr>
              <w:t xml:space="preserve"> (</w:t>
            </w:r>
            <w:r w:rsidR="004A06F9" w:rsidRPr="00107343">
              <w:rPr>
                <w:rFonts w:ascii="Calibri" w:eastAsia="Times New Roman" w:hAnsi="Calibri" w:cs="Times New Roman"/>
                <w:b/>
                <w:lang w:eastAsia="en-GB"/>
              </w:rPr>
              <w:t> </w:t>
            </w:r>
            <w:r w:rsidR="00107343" w:rsidRPr="00107343">
              <w:rPr>
                <w:rFonts w:ascii="Calibri" w:eastAsia="Times New Roman" w:hAnsi="Calibri" w:cs="Times New Roman"/>
                <w:b/>
                <w:lang w:eastAsia="en-GB"/>
              </w:rPr>
              <w:t>27.96</w:t>
            </w:r>
            <w:r w:rsidR="00AA7ADA" w:rsidRPr="00107343">
              <w:rPr>
                <w:rFonts w:ascii="Calibri" w:eastAsia="Times New Roman" w:hAnsi="Calibri" w:cs="Times New Roman"/>
                <w:b/>
                <w:lang w:eastAsia="en-GB"/>
              </w:rPr>
              <w:t>***)</w:t>
            </w:r>
          </w:p>
        </w:tc>
        <w:tc>
          <w:tcPr>
            <w:tcW w:w="1701" w:type="dxa"/>
            <w:tcBorders>
              <w:top w:val="nil"/>
              <w:left w:val="nil"/>
              <w:bottom w:val="single" w:sz="4" w:space="0" w:color="auto"/>
              <w:right w:val="single" w:sz="4" w:space="0" w:color="auto"/>
            </w:tcBorders>
            <w:shd w:val="clear" w:color="auto" w:fill="auto"/>
            <w:noWrap/>
            <w:hideMark/>
          </w:tcPr>
          <w:p w:rsidR="00D87625" w:rsidRPr="00107343" w:rsidRDefault="001C7352" w:rsidP="00675CAD">
            <w:pPr>
              <w:spacing w:after="0" w:line="240" w:lineRule="auto"/>
              <w:jc w:val="right"/>
              <w:rPr>
                <w:rFonts w:ascii="Calibri" w:eastAsia="Times New Roman" w:hAnsi="Calibri" w:cs="Times New Roman"/>
                <w:b/>
                <w:lang w:eastAsia="en-GB"/>
              </w:rPr>
            </w:pPr>
            <w:r w:rsidRPr="00107343">
              <w:rPr>
                <w:rFonts w:ascii="Calibri" w:eastAsia="Times New Roman" w:hAnsi="Calibri" w:cs="Times New Roman"/>
                <w:b/>
                <w:lang w:eastAsia="en-GB"/>
              </w:rPr>
              <w:t>1.47</w:t>
            </w:r>
            <w:r w:rsidR="00D87625" w:rsidRPr="00107343">
              <w:rPr>
                <w:rFonts w:ascii="Calibri" w:eastAsia="Times New Roman" w:hAnsi="Calibri" w:cs="Times New Roman"/>
                <w:b/>
                <w:lang w:eastAsia="en-GB"/>
              </w:rPr>
              <w:t xml:space="preserve"> </w:t>
            </w:r>
          </w:p>
          <w:p w:rsidR="004A06F9" w:rsidRPr="00107343" w:rsidRDefault="00851405" w:rsidP="00675CAD">
            <w:pPr>
              <w:spacing w:after="0" w:line="240" w:lineRule="auto"/>
              <w:jc w:val="right"/>
              <w:rPr>
                <w:rFonts w:ascii="Calibri" w:eastAsia="Times New Roman" w:hAnsi="Calibri" w:cs="Times New Roman"/>
                <w:b/>
                <w:lang w:eastAsia="en-GB"/>
              </w:rPr>
            </w:pPr>
            <w:r w:rsidRPr="00107343">
              <w:rPr>
                <w:rFonts w:ascii="Calibri" w:eastAsia="Times New Roman" w:hAnsi="Calibri" w:cs="Times New Roman"/>
                <w:b/>
                <w:lang w:eastAsia="en-GB"/>
              </w:rPr>
              <w:t>(1.8</w:t>
            </w:r>
            <w:r w:rsidR="00855CD2" w:rsidRPr="00107343">
              <w:rPr>
                <w:rFonts w:ascii="Calibri" w:eastAsia="Times New Roman" w:hAnsi="Calibri" w:cs="Times New Roman"/>
                <w:b/>
                <w:lang w:eastAsia="en-GB"/>
              </w:rPr>
              <w:t>6</w:t>
            </w:r>
            <w:r w:rsidR="003618ED" w:rsidRPr="00107343">
              <w:rPr>
                <w:rFonts w:ascii="Calibri" w:eastAsia="Times New Roman" w:hAnsi="Calibri" w:cs="Times New Roman"/>
                <w:b/>
                <w:lang w:eastAsia="en-GB"/>
              </w:rPr>
              <w:t>**</w:t>
            </w:r>
            <w:r w:rsidR="005004F1" w:rsidRPr="00107343">
              <w:rPr>
                <w:rFonts w:ascii="Calibri" w:eastAsia="Times New Roman" w:hAnsi="Calibri" w:cs="Times New Roman"/>
                <w:b/>
                <w:lang w:eastAsia="en-GB"/>
              </w:rPr>
              <w:t>*</w:t>
            </w:r>
            <w:r w:rsidR="00D87625" w:rsidRPr="00107343">
              <w:rPr>
                <w:rFonts w:ascii="Calibri" w:eastAsia="Times New Roman" w:hAnsi="Calibri" w:cs="Times New Roman"/>
                <w:b/>
                <w:lang w:eastAsia="en-GB"/>
              </w:rPr>
              <w:t>)</w:t>
            </w:r>
          </w:p>
        </w:tc>
        <w:tc>
          <w:tcPr>
            <w:tcW w:w="1417" w:type="dxa"/>
            <w:tcBorders>
              <w:top w:val="nil"/>
              <w:left w:val="nil"/>
              <w:bottom w:val="single" w:sz="4" w:space="0" w:color="auto"/>
              <w:right w:val="single" w:sz="4" w:space="0" w:color="auto"/>
            </w:tcBorders>
          </w:tcPr>
          <w:p w:rsidR="004A06F9" w:rsidRPr="00107343" w:rsidRDefault="001C7352" w:rsidP="00675CAD">
            <w:pPr>
              <w:spacing w:after="0" w:line="240" w:lineRule="auto"/>
              <w:jc w:val="right"/>
              <w:rPr>
                <w:rFonts w:ascii="Calibri" w:eastAsia="Times New Roman" w:hAnsi="Calibri" w:cs="Times New Roman"/>
                <w:b/>
                <w:lang w:eastAsia="en-GB"/>
              </w:rPr>
            </w:pPr>
            <w:r w:rsidRPr="00107343">
              <w:rPr>
                <w:rFonts w:ascii="Calibri" w:eastAsia="Times New Roman" w:hAnsi="Calibri" w:cs="Times New Roman"/>
                <w:b/>
                <w:lang w:eastAsia="en-GB"/>
              </w:rPr>
              <w:t>15.22</w:t>
            </w:r>
          </w:p>
          <w:p w:rsidR="00453FE5" w:rsidRPr="00107343" w:rsidRDefault="00851405" w:rsidP="00675CAD">
            <w:pPr>
              <w:spacing w:after="0" w:line="240" w:lineRule="auto"/>
              <w:jc w:val="right"/>
              <w:rPr>
                <w:rFonts w:ascii="Calibri" w:eastAsia="Times New Roman" w:hAnsi="Calibri" w:cs="Times New Roman"/>
                <w:b/>
                <w:lang w:eastAsia="en-GB"/>
              </w:rPr>
            </w:pPr>
            <w:r w:rsidRPr="00107343">
              <w:rPr>
                <w:rFonts w:ascii="Calibri" w:eastAsia="Times New Roman" w:hAnsi="Calibri" w:cs="Times New Roman"/>
                <w:b/>
                <w:lang w:eastAsia="en-GB"/>
              </w:rPr>
              <w:t>(20.75</w:t>
            </w:r>
            <w:r w:rsidR="00453FE5" w:rsidRPr="00107343">
              <w:rPr>
                <w:rFonts w:ascii="Calibri" w:eastAsia="Times New Roman" w:hAnsi="Calibri" w:cs="Times New Roman"/>
                <w:b/>
                <w:lang w:eastAsia="en-GB"/>
              </w:rPr>
              <w:t>***)</w:t>
            </w:r>
          </w:p>
        </w:tc>
        <w:tc>
          <w:tcPr>
            <w:tcW w:w="1843" w:type="dxa"/>
            <w:tcBorders>
              <w:top w:val="nil"/>
              <w:left w:val="nil"/>
              <w:bottom w:val="single" w:sz="4" w:space="0" w:color="auto"/>
              <w:right w:val="single" w:sz="4" w:space="0" w:color="auto"/>
            </w:tcBorders>
          </w:tcPr>
          <w:p w:rsidR="00453FE5" w:rsidRPr="00107343" w:rsidRDefault="00453FE5" w:rsidP="00453FE5">
            <w:pPr>
              <w:spacing w:after="0" w:line="240" w:lineRule="auto"/>
              <w:jc w:val="right"/>
              <w:rPr>
                <w:rFonts w:ascii="Calibri" w:eastAsia="Times New Roman" w:hAnsi="Calibri" w:cs="Times New Roman"/>
                <w:b/>
                <w:lang w:eastAsia="en-GB"/>
              </w:rPr>
            </w:pPr>
            <w:r w:rsidRPr="00107343">
              <w:rPr>
                <w:rFonts w:ascii="Calibri" w:eastAsia="Times New Roman" w:hAnsi="Calibri" w:cs="Times New Roman"/>
                <w:b/>
                <w:lang w:eastAsia="en-GB"/>
              </w:rPr>
              <w:t>154.36</w:t>
            </w:r>
            <w:r w:rsidR="001C7352" w:rsidRPr="00107343">
              <w:rPr>
                <w:rFonts w:ascii="Calibri" w:eastAsia="Times New Roman" w:hAnsi="Calibri" w:cs="Times New Roman"/>
                <w:b/>
                <w:lang w:eastAsia="en-GB"/>
              </w:rPr>
              <w:t xml:space="preserve"> [2.33] </w:t>
            </w:r>
            <w:r w:rsidRPr="00107343">
              <w:rPr>
                <w:rFonts w:ascii="Calibri" w:eastAsia="Times New Roman" w:hAnsi="Calibri" w:cs="Times New Roman"/>
                <w:b/>
                <w:lang w:eastAsia="en-GB"/>
              </w:rPr>
              <w:t>(174.87</w:t>
            </w:r>
            <w:r w:rsidR="00E41C6C" w:rsidRPr="00107343">
              <w:rPr>
                <w:rFonts w:ascii="Calibri" w:eastAsia="Times New Roman" w:hAnsi="Calibri" w:cs="Times New Roman"/>
                <w:b/>
                <w:lang w:eastAsia="en-GB"/>
              </w:rPr>
              <w:t>***)</w:t>
            </w:r>
            <w:r w:rsidR="00AF21F6" w:rsidRPr="00107343">
              <w:rPr>
                <w:rFonts w:ascii="Calibri" w:eastAsia="Times New Roman" w:hAnsi="Calibri" w:cs="Times New Roman"/>
                <w:b/>
                <w:lang w:eastAsia="en-GB"/>
              </w:rPr>
              <w:t>[2</w:t>
            </w:r>
            <w:r w:rsidR="00107343" w:rsidRPr="00107343">
              <w:rPr>
                <w:rFonts w:ascii="Calibri" w:eastAsia="Times New Roman" w:hAnsi="Calibri" w:cs="Times New Roman"/>
                <w:b/>
                <w:lang w:eastAsia="en-GB"/>
              </w:rPr>
              <w:t>.41</w:t>
            </w:r>
            <w:r w:rsidR="001C7352" w:rsidRPr="00107343">
              <w:rPr>
                <w:rFonts w:ascii="Calibri" w:eastAsia="Times New Roman" w:hAnsi="Calibri" w:cs="Times New Roman"/>
                <w:b/>
                <w:lang w:eastAsia="en-GB"/>
              </w:rPr>
              <w:t>]</w:t>
            </w:r>
          </w:p>
        </w:tc>
      </w:tr>
    </w:tbl>
    <w:p w:rsidR="004A06F9" w:rsidRDefault="004A06F9" w:rsidP="00B94C4F">
      <w:pPr>
        <w:autoSpaceDE w:val="0"/>
        <w:autoSpaceDN w:val="0"/>
        <w:adjustRightInd w:val="0"/>
        <w:spacing w:after="0" w:line="240" w:lineRule="auto"/>
        <w:rPr>
          <w:rFonts w:ascii="Arial" w:hAnsi="Arial" w:cs="Arial"/>
          <w:noProof/>
          <w:sz w:val="16"/>
          <w:szCs w:val="16"/>
          <w:lang w:eastAsia="en-GB"/>
        </w:rPr>
      </w:pPr>
      <w:r w:rsidRPr="00C464A8">
        <w:rPr>
          <w:rFonts w:ascii="Arial" w:hAnsi="Arial" w:cs="Arial"/>
          <w:noProof/>
          <w:sz w:val="16"/>
          <w:szCs w:val="16"/>
          <w:lang w:eastAsia="en-GB"/>
        </w:rPr>
        <w:t xml:space="preserve">Source: NMD Planning Survey </w:t>
      </w:r>
      <w:r w:rsidR="00AB054A" w:rsidRPr="00C464A8">
        <w:rPr>
          <w:rFonts w:ascii="Arial" w:hAnsi="Arial" w:cs="Arial"/>
          <w:noProof/>
          <w:sz w:val="16"/>
          <w:szCs w:val="16"/>
          <w:lang w:eastAsia="en-GB"/>
        </w:rPr>
        <w:t xml:space="preserve">of Zoned Industrial Land </w:t>
      </w:r>
      <w:r w:rsidRPr="00C464A8">
        <w:rPr>
          <w:rFonts w:ascii="Arial" w:hAnsi="Arial" w:cs="Arial"/>
          <w:noProof/>
          <w:sz w:val="16"/>
          <w:szCs w:val="16"/>
          <w:lang w:eastAsia="en-GB"/>
        </w:rPr>
        <w:t>(</w:t>
      </w:r>
      <w:r w:rsidR="00C976A9" w:rsidRPr="00C464A8">
        <w:rPr>
          <w:rFonts w:ascii="Arial" w:hAnsi="Arial" w:cs="Arial"/>
          <w:noProof/>
          <w:sz w:val="16"/>
          <w:szCs w:val="16"/>
          <w:lang w:eastAsia="en-GB"/>
        </w:rPr>
        <w:t>May</w:t>
      </w:r>
      <w:r w:rsidR="004E2677" w:rsidRPr="00C464A8">
        <w:rPr>
          <w:rFonts w:ascii="Arial" w:hAnsi="Arial" w:cs="Arial"/>
          <w:noProof/>
          <w:sz w:val="16"/>
          <w:szCs w:val="16"/>
          <w:lang w:eastAsia="en-GB"/>
        </w:rPr>
        <w:t xml:space="preserve"> &amp; June </w:t>
      </w:r>
      <w:r w:rsidRPr="00C464A8">
        <w:rPr>
          <w:rFonts w:ascii="Arial" w:hAnsi="Arial" w:cs="Arial"/>
          <w:noProof/>
          <w:sz w:val="16"/>
          <w:szCs w:val="16"/>
          <w:lang w:eastAsia="en-GB"/>
        </w:rPr>
        <w:t xml:space="preserve"> 2015)</w:t>
      </w:r>
    </w:p>
    <w:p w:rsidR="004A06F9" w:rsidRPr="00C464A8" w:rsidRDefault="00FC4F53" w:rsidP="00B94C4F">
      <w:pPr>
        <w:autoSpaceDE w:val="0"/>
        <w:autoSpaceDN w:val="0"/>
        <w:adjustRightInd w:val="0"/>
        <w:spacing w:after="0" w:line="240" w:lineRule="auto"/>
        <w:rPr>
          <w:rFonts w:ascii="Arial" w:hAnsi="Arial" w:cs="Arial"/>
          <w:noProof/>
          <w:sz w:val="16"/>
          <w:szCs w:val="16"/>
          <w:lang w:eastAsia="en-GB"/>
        </w:rPr>
      </w:pPr>
      <w:r w:rsidRPr="00C464A8">
        <w:rPr>
          <w:rFonts w:ascii="Arial" w:hAnsi="Arial" w:cs="Arial"/>
          <w:noProof/>
          <w:sz w:val="16"/>
          <w:szCs w:val="16"/>
          <w:lang w:eastAsia="en-GB"/>
        </w:rPr>
        <w:t>*</w:t>
      </w:r>
      <w:r w:rsidR="004A06F9" w:rsidRPr="00C464A8">
        <w:rPr>
          <w:rFonts w:ascii="Arial" w:hAnsi="Arial" w:cs="Arial"/>
          <w:noProof/>
          <w:sz w:val="16"/>
          <w:szCs w:val="16"/>
          <w:lang w:eastAsia="en-GB"/>
        </w:rPr>
        <w:t>Area remaining (hectares) excludes any area that cannot be developed due to constraints (eg flooding) or has been developed for non employment uses (eg housing).</w:t>
      </w:r>
    </w:p>
    <w:p w:rsidR="00FC4F53" w:rsidRPr="00C464A8" w:rsidRDefault="004C5ADD" w:rsidP="00B94C4F">
      <w:pPr>
        <w:autoSpaceDE w:val="0"/>
        <w:autoSpaceDN w:val="0"/>
        <w:adjustRightInd w:val="0"/>
        <w:spacing w:after="0" w:line="240" w:lineRule="auto"/>
        <w:rPr>
          <w:rFonts w:ascii="Arial" w:hAnsi="Arial" w:cs="Arial"/>
          <w:noProof/>
          <w:sz w:val="16"/>
          <w:szCs w:val="16"/>
          <w:lang w:eastAsia="en-GB"/>
        </w:rPr>
      </w:pPr>
      <w:r w:rsidRPr="00C464A8">
        <w:rPr>
          <w:rFonts w:ascii="Arial" w:hAnsi="Arial" w:cs="Arial"/>
          <w:noProof/>
          <w:sz w:val="16"/>
          <w:szCs w:val="16"/>
          <w:lang w:eastAsia="en-GB"/>
        </w:rPr>
        <w:t>*</w:t>
      </w:r>
      <w:r w:rsidR="00E1573D" w:rsidRPr="00C464A8">
        <w:rPr>
          <w:rFonts w:ascii="Arial" w:hAnsi="Arial" w:cs="Arial"/>
          <w:noProof/>
          <w:sz w:val="16"/>
          <w:szCs w:val="16"/>
          <w:lang w:eastAsia="en-GB"/>
        </w:rPr>
        <w:t>*</w:t>
      </w:r>
      <w:r w:rsidRPr="00C464A8">
        <w:rPr>
          <w:rFonts w:ascii="Arial" w:hAnsi="Arial" w:cs="Arial"/>
          <w:noProof/>
          <w:sz w:val="16"/>
          <w:szCs w:val="16"/>
          <w:lang w:eastAsia="en-GB"/>
        </w:rPr>
        <w:t xml:space="preserve"> I</w:t>
      </w:r>
      <w:r w:rsidR="004E4435" w:rsidRPr="00C464A8">
        <w:rPr>
          <w:rFonts w:ascii="Arial" w:hAnsi="Arial" w:cs="Arial"/>
          <w:noProof/>
          <w:sz w:val="16"/>
          <w:szCs w:val="16"/>
          <w:lang w:eastAsia="en-GB"/>
        </w:rPr>
        <w:t xml:space="preserve">ndustrial </w:t>
      </w:r>
      <w:r w:rsidR="00FC4F53" w:rsidRPr="00C464A8">
        <w:rPr>
          <w:rFonts w:ascii="Arial" w:hAnsi="Arial" w:cs="Arial"/>
          <w:noProof/>
          <w:sz w:val="16"/>
          <w:szCs w:val="16"/>
          <w:lang w:eastAsia="en-GB"/>
        </w:rPr>
        <w:t>land within the Invest NI Indust</w:t>
      </w:r>
      <w:r w:rsidRPr="00C464A8">
        <w:rPr>
          <w:rFonts w:ascii="Arial" w:hAnsi="Arial" w:cs="Arial"/>
          <w:noProof/>
          <w:sz w:val="16"/>
          <w:szCs w:val="16"/>
          <w:lang w:eastAsia="en-GB"/>
        </w:rPr>
        <w:t>rial Estate on the Belfast Road</w:t>
      </w:r>
      <w:r w:rsidR="005D1AD4" w:rsidRPr="00C464A8">
        <w:rPr>
          <w:rFonts w:ascii="Arial" w:hAnsi="Arial" w:cs="Arial"/>
          <w:noProof/>
          <w:sz w:val="16"/>
          <w:szCs w:val="16"/>
          <w:lang w:eastAsia="en-GB"/>
        </w:rPr>
        <w:t>, Downpatrick</w:t>
      </w:r>
      <w:r w:rsidRPr="00C464A8">
        <w:rPr>
          <w:rFonts w:ascii="Arial" w:hAnsi="Arial" w:cs="Arial"/>
          <w:noProof/>
          <w:sz w:val="16"/>
          <w:szCs w:val="16"/>
          <w:lang w:eastAsia="en-GB"/>
        </w:rPr>
        <w:t xml:space="preserve"> but not zoned for industry.</w:t>
      </w:r>
      <w:r w:rsidR="00CD2613" w:rsidRPr="00C464A8">
        <w:rPr>
          <w:rFonts w:ascii="Arial" w:hAnsi="Arial" w:cs="Arial"/>
          <w:noProof/>
          <w:sz w:val="16"/>
          <w:szCs w:val="16"/>
          <w:lang w:eastAsia="en-GB"/>
        </w:rPr>
        <w:t xml:space="preserve"> </w:t>
      </w:r>
    </w:p>
    <w:p w:rsidR="004C5ADD" w:rsidRPr="00C464A8" w:rsidRDefault="003618ED" w:rsidP="00B94C4F">
      <w:pPr>
        <w:autoSpaceDE w:val="0"/>
        <w:autoSpaceDN w:val="0"/>
        <w:adjustRightInd w:val="0"/>
        <w:spacing w:after="0" w:line="240" w:lineRule="auto"/>
        <w:rPr>
          <w:rFonts w:ascii="Arial" w:hAnsi="Arial" w:cs="Arial"/>
          <w:noProof/>
          <w:sz w:val="16"/>
          <w:szCs w:val="16"/>
          <w:lang w:eastAsia="en-GB"/>
        </w:rPr>
      </w:pPr>
      <w:r w:rsidRPr="00C464A8">
        <w:rPr>
          <w:rFonts w:ascii="Arial" w:hAnsi="Arial" w:cs="Arial"/>
          <w:noProof/>
          <w:sz w:val="16"/>
          <w:szCs w:val="16"/>
          <w:lang w:eastAsia="en-GB"/>
        </w:rPr>
        <w:t>*</w:t>
      </w:r>
      <w:r w:rsidR="004C5ADD" w:rsidRPr="00C464A8">
        <w:rPr>
          <w:rFonts w:ascii="Arial" w:hAnsi="Arial" w:cs="Arial"/>
          <w:noProof/>
          <w:sz w:val="16"/>
          <w:szCs w:val="16"/>
          <w:lang w:eastAsia="en-GB"/>
        </w:rPr>
        <w:t>*</w:t>
      </w:r>
      <w:r w:rsidR="00E1573D" w:rsidRPr="00C464A8">
        <w:rPr>
          <w:rFonts w:ascii="Arial" w:hAnsi="Arial" w:cs="Arial"/>
          <w:noProof/>
          <w:sz w:val="16"/>
          <w:szCs w:val="16"/>
          <w:lang w:eastAsia="en-GB"/>
        </w:rPr>
        <w:t>*</w:t>
      </w:r>
      <w:r w:rsidR="005004F1" w:rsidRPr="00C464A8">
        <w:rPr>
          <w:rFonts w:ascii="Arial" w:hAnsi="Arial" w:cs="Arial"/>
          <w:noProof/>
          <w:sz w:val="16"/>
          <w:szCs w:val="16"/>
          <w:lang w:eastAsia="en-GB"/>
        </w:rPr>
        <w:t xml:space="preserve"> Total</w:t>
      </w:r>
      <w:r w:rsidR="004C5ADD" w:rsidRPr="00C464A8">
        <w:rPr>
          <w:rFonts w:ascii="Arial" w:hAnsi="Arial" w:cs="Arial"/>
          <w:noProof/>
          <w:sz w:val="16"/>
          <w:szCs w:val="16"/>
          <w:lang w:eastAsia="en-GB"/>
        </w:rPr>
        <w:t xml:space="preserve"> is a combination of both zoned</w:t>
      </w:r>
      <w:r w:rsidR="005D1AD4" w:rsidRPr="00C464A8">
        <w:rPr>
          <w:rFonts w:ascii="Arial" w:hAnsi="Arial" w:cs="Arial"/>
          <w:noProof/>
          <w:sz w:val="16"/>
          <w:szCs w:val="16"/>
          <w:lang w:eastAsia="en-GB"/>
        </w:rPr>
        <w:t xml:space="preserve"> industrial land </w:t>
      </w:r>
      <w:r w:rsidR="004C5ADD" w:rsidRPr="00C464A8">
        <w:rPr>
          <w:rFonts w:ascii="Arial" w:hAnsi="Arial" w:cs="Arial"/>
          <w:noProof/>
          <w:sz w:val="16"/>
          <w:szCs w:val="16"/>
          <w:lang w:eastAsia="en-GB"/>
        </w:rPr>
        <w:t xml:space="preserve"> and the unzoned</w:t>
      </w:r>
      <w:r w:rsidR="005D1AD4" w:rsidRPr="00C464A8">
        <w:rPr>
          <w:rFonts w:ascii="Arial" w:hAnsi="Arial" w:cs="Arial"/>
          <w:noProof/>
          <w:sz w:val="16"/>
          <w:szCs w:val="16"/>
          <w:lang w:eastAsia="en-GB"/>
        </w:rPr>
        <w:t xml:space="preserve"> Invest NI site  industrial estate on the Belfast Road</w:t>
      </w:r>
      <w:r w:rsidR="004C5ADD" w:rsidRPr="00C464A8">
        <w:rPr>
          <w:rFonts w:ascii="Arial" w:hAnsi="Arial" w:cs="Arial"/>
          <w:noProof/>
          <w:sz w:val="16"/>
          <w:szCs w:val="16"/>
          <w:lang w:eastAsia="en-GB"/>
        </w:rPr>
        <w:t>.</w:t>
      </w:r>
    </w:p>
    <w:p w:rsidR="004D2999" w:rsidRPr="003A54AA" w:rsidRDefault="00313304" w:rsidP="00185000">
      <w:pPr>
        <w:autoSpaceDE w:val="0"/>
        <w:autoSpaceDN w:val="0"/>
        <w:adjustRightInd w:val="0"/>
        <w:spacing w:after="0" w:line="240" w:lineRule="auto"/>
        <w:jc w:val="both"/>
        <w:rPr>
          <w:rFonts w:ascii="Tahoma" w:hAnsi="Tahoma" w:cs="Tahoma"/>
          <w:noProof/>
          <w:sz w:val="24"/>
          <w:szCs w:val="24"/>
          <w:lang w:eastAsia="en-GB"/>
        </w:rPr>
      </w:pPr>
      <w:r w:rsidRPr="003A54AA">
        <w:rPr>
          <w:rFonts w:ascii="Tahoma" w:hAnsi="Tahoma" w:cs="Tahoma"/>
          <w:b/>
          <w:noProof/>
          <w:sz w:val="24"/>
          <w:szCs w:val="24"/>
          <w:lang w:eastAsia="en-GB"/>
        </w:rPr>
        <w:lastRenderedPageBreak/>
        <w:t>6</w:t>
      </w:r>
      <w:r w:rsidR="00AD544E" w:rsidRPr="003A54AA">
        <w:rPr>
          <w:rFonts w:ascii="Tahoma" w:hAnsi="Tahoma" w:cs="Tahoma"/>
          <w:b/>
          <w:noProof/>
          <w:sz w:val="24"/>
          <w:szCs w:val="24"/>
          <w:lang w:eastAsia="en-GB"/>
        </w:rPr>
        <w:t>.30</w:t>
      </w:r>
      <w:r w:rsidR="003F2672">
        <w:rPr>
          <w:rFonts w:ascii="Tahoma" w:hAnsi="Tahoma" w:cs="Tahoma"/>
          <w:noProof/>
          <w:sz w:val="24"/>
          <w:szCs w:val="24"/>
          <w:lang w:eastAsia="en-GB"/>
        </w:rPr>
        <w:tab/>
      </w:r>
      <w:r w:rsidR="006D0646" w:rsidRPr="003A54AA">
        <w:rPr>
          <w:rFonts w:ascii="Tahoma" w:hAnsi="Tahoma" w:cs="Tahoma"/>
          <w:noProof/>
          <w:sz w:val="24"/>
          <w:szCs w:val="24"/>
          <w:lang w:eastAsia="en-GB"/>
        </w:rPr>
        <w:t>Within the</w:t>
      </w:r>
      <w:r w:rsidR="00D8213F" w:rsidRPr="003A54AA">
        <w:rPr>
          <w:rFonts w:ascii="Tahoma" w:hAnsi="Tahoma" w:cs="Tahoma"/>
          <w:noProof/>
          <w:sz w:val="24"/>
          <w:szCs w:val="24"/>
          <w:lang w:eastAsia="en-GB"/>
        </w:rPr>
        <w:t xml:space="preserve"> Newry, Mourne and Down Council area 193 hectares is zoned for employment use in the cu</w:t>
      </w:r>
      <w:r w:rsidR="004D2999" w:rsidRPr="003A54AA">
        <w:rPr>
          <w:rFonts w:ascii="Tahoma" w:hAnsi="Tahoma" w:cs="Tahoma"/>
          <w:noProof/>
          <w:sz w:val="24"/>
          <w:szCs w:val="24"/>
          <w:lang w:eastAsia="en-GB"/>
        </w:rPr>
        <w:t>rrent area plans.</w:t>
      </w:r>
      <w:r w:rsidR="00D8213F" w:rsidRPr="003A54AA">
        <w:rPr>
          <w:rFonts w:ascii="Tahoma" w:hAnsi="Tahoma" w:cs="Tahoma"/>
          <w:noProof/>
          <w:sz w:val="24"/>
          <w:szCs w:val="24"/>
          <w:lang w:eastAsia="en-GB"/>
        </w:rPr>
        <w:t xml:space="preserve"> In addition a further 34 hectares are</w:t>
      </w:r>
      <w:r w:rsidR="006D0646" w:rsidRPr="003A54AA">
        <w:rPr>
          <w:rFonts w:ascii="Tahoma" w:hAnsi="Tahoma" w:cs="Tahoma"/>
          <w:noProof/>
          <w:sz w:val="24"/>
          <w:szCs w:val="24"/>
          <w:lang w:eastAsia="en-GB"/>
        </w:rPr>
        <w:t xml:space="preserve"> located within t</w:t>
      </w:r>
      <w:r w:rsidR="00D8213F" w:rsidRPr="003A54AA">
        <w:rPr>
          <w:rFonts w:ascii="Tahoma" w:hAnsi="Tahoma" w:cs="Tahoma"/>
          <w:noProof/>
          <w:sz w:val="24"/>
          <w:szCs w:val="24"/>
          <w:lang w:eastAsia="en-GB"/>
        </w:rPr>
        <w:t>he Invest NI business park on t</w:t>
      </w:r>
      <w:r w:rsidR="006D0646" w:rsidRPr="003A54AA">
        <w:rPr>
          <w:rFonts w:ascii="Tahoma" w:hAnsi="Tahoma" w:cs="Tahoma"/>
          <w:noProof/>
          <w:sz w:val="24"/>
          <w:szCs w:val="24"/>
          <w:lang w:eastAsia="en-GB"/>
        </w:rPr>
        <w:t>he Bel</w:t>
      </w:r>
      <w:r w:rsidR="00E1243E" w:rsidRPr="003A54AA">
        <w:rPr>
          <w:rFonts w:ascii="Tahoma" w:hAnsi="Tahoma" w:cs="Tahoma"/>
          <w:noProof/>
          <w:sz w:val="24"/>
          <w:szCs w:val="24"/>
          <w:lang w:eastAsia="en-GB"/>
        </w:rPr>
        <w:t>fast Road in Downpatrick and these are</w:t>
      </w:r>
      <w:r w:rsidR="006D0646" w:rsidRPr="003A54AA">
        <w:rPr>
          <w:rFonts w:ascii="Tahoma" w:hAnsi="Tahoma" w:cs="Tahoma"/>
          <w:noProof/>
          <w:sz w:val="24"/>
          <w:szCs w:val="24"/>
          <w:lang w:eastAsia="en-GB"/>
        </w:rPr>
        <w:t xml:space="preserve"> </w:t>
      </w:r>
      <w:r w:rsidR="009E09BC" w:rsidRPr="003A54AA">
        <w:rPr>
          <w:rFonts w:ascii="Tahoma" w:hAnsi="Tahoma" w:cs="Tahoma"/>
          <w:noProof/>
          <w:sz w:val="24"/>
          <w:szCs w:val="24"/>
          <w:lang w:eastAsia="en-GB"/>
        </w:rPr>
        <w:t xml:space="preserve">also </w:t>
      </w:r>
      <w:r w:rsidR="006D0646" w:rsidRPr="003A54AA">
        <w:rPr>
          <w:rFonts w:ascii="Tahoma" w:hAnsi="Tahoma" w:cs="Tahoma"/>
          <w:noProof/>
          <w:sz w:val="24"/>
          <w:szCs w:val="24"/>
          <w:lang w:eastAsia="en-GB"/>
        </w:rPr>
        <w:t xml:space="preserve">suitable for employment use. </w:t>
      </w:r>
    </w:p>
    <w:p w:rsidR="009E09BC" w:rsidRPr="003A54AA" w:rsidRDefault="009E09BC" w:rsidP="00B94C4F">
      <w:pPr>
        <w:autoSpaceDE w:val="0"/>
        <w:autoSpaceDN w:val="0"/>
        <w:adjustRightInd w:val="0"/>
        <w:spacing w:after="0" w:line="240" w:lineRule="auto"/>
        <w:rPr>
          <w:rFonts w:ascii="Tahoma" w:hAnsi="Tahoma" w:cs="Tahoma"/>
          <w:noProof/>
          <w:sz w:val="24"/>
          <w:szCs w:val="24"/>
          <w:lang w:eastAsia="en-GB"/>
        </w:rPr>
      </w:pPr>
    </w:p>
    <w:p w:rsidR="005777F3" w:rsidRPr="003A54AA" w:rsidRDefault="00313304" w:rsidP="00185000">
      <w:pPr>
        <w:autoSpaceDE w:val="0"/>
        <w:autoSpaceDN w:val="0"/>
        <w:adjustRightInd w:val="0"/>
        <w:spacing w:after="0" w:line="240" w:lineRule="auto"/>
        <w:jc w:val="both"/>
        <w:rPr>
          <w:rFonts w:ascii="Tahoma" w:hAnsi="Tahoma" w:cs="Tahoma"/>
          <w:noProof/>
          <w:sz w:val="24"/>
          <w:szCs w:val="24"/>
          <w:lang w:eastAsia="en-GB"/>
        </w:rPr>
      </w:pPr>
      <w:r w:rsidRPr="003A54AA">
        <w:rPr>
          <w:rFonts w:ascii="Tahoma" w:hAnsi="Tahoma" w:cs="Tahoma"/>
          <w:b/>
          <w:noProof/>
          <w:sz w:val="24"/>
          <w:szCs w:val="24"/>
          <w:lang w:eastAsia="en-GB"/>
        </w:rPr>
        <w:t>6</w:t>
      </w:r>
      <w:r w:rsidR="007F6C03" w:rsidRPr="003A54AA">
        <w:rPr>
          <w:rFonts w:ascii="Tahoma" w:hAnsi="Tahoma" w:cs="Tahoma"/>
          <w:b/>
          <w:noProof/>
          <w:sz w:val="24"/>
          <w:szCs w:val="24"/>
          <w:lang w:eastAsia="en-GB"/>
        </w:rPr>
        <w:t>.31</w:t>
      </w:r>
      <w:r w:rsidR="007F6C03" w:rsidRPr="003A54AA">
        <w:rPr>
          <w:rFonts w:ascii="Tahoma" w:hAnsi="Tahoma" w:cs="Tahoma"/>
          <w:noProof/>
          <w:sz w:val="24"/>
          <w:szCs w:val="24"/>
          <w:lang w:eastAsia="en-GB"/>
        </w:rPr>
        <w:tab/>
      </w:r>
      <w:r w:rsidR="009E09BC" w:rsidRPr="003A54AA">
        <w:rPr>
          <w:rFonts w:ascii="Tahoma" w:hAnsi="Tahoma" w:cs="Tahoma"/>
          <w:noProof/>
          <w:sz w:val="24"/>
          <w:szCs w:val="24"/>
          <w:lang w:eastAsia="en-GB"/>
        </w:rPr>
        <w:t xml:space="preserve">Table 7 above shows the results of surveys of zoned industrial land carried out in May and June 2015. </w:t>
      </w:r>
      <w:r w:rsidR="00E1243E" w:rsidRPr="003A54AA">
        <w:rPr>
          <w:rFonts w:ascii="Tahoma" w:hAnsi="Tahoma" w:cs="Tahoma"/>
          <w:noProof/>
          <w:sz w:val="24"/>
          <w:szCs w:val="24"/>
          <w:lang w:eastAsia="en-GB"/>
        </w:rPr>
        <w:t>The survey results</w:t>
      </w:r>
      <w:r w:rsidR="007F6C03" w:rsidRPr="003A54AA">
        <w:rPr>
          <w:rFonts w:ascii="Tahoma" w:hAnsi="Tahoma" w:cs="Tahoma"/>
          <w:noProof/>
          <w:sz w:val="24"/>
          <w:szCs w:val="24"/>
          <w:lang w:eastAsia="en-GB"/>
        </w:rPr>
        <w:t xml:space="preserve"> show that 27 hectares of land are currently in </w:t>
      </w:r>
      <w:r w:rsidR="009E09BC" w:rsidRPr="003A54AA">
        <w:rPr>
          <w:rFonts w:ascii="Tahoma" w:hAnsi="Tahoma" w:cs="Tahoma"/>
          <w:noProof/>
          <w:sz w:val="24"/>
          <w:szCs w:val="24"/>
          <w:lang w:eastAsia="en-GB"/>
        </w:rPr>
        <w:t>industrial use</w:t>
      </w:r>
      <w:r w:rsidR="007F6C03" w:rsidRPr="003A54AA">
        <w:rPr>
          <w:rFonts w:ascii="Tahoma" w:hAnsi="Tahoma" w:cs="Tahoma"/>
          <w:noProof/>
          <w:sz w:val="24"/>
          <w:szCs w:val="24"/>
          <w:lang w:eastAsia="en-GB"/>
        </w:rPr>
        <w:t xml:space="preserve">, with </w:t>
      </w:r>
      <w:r w:rsidR="009E09BC" w:rsidRPr="003A54AA">
        <w:rPr>
          <w:rFonts w:ascii="Tahoma" w:hAnsi="Tahoma" w:cs="Tahoma"/>
          <w:noProof/>
          <w:sz w:val="24"/>
          <w:szCs w:val="24"/>
          <w:lang w:eastAsia="en-GB"/>
        </w:rPr>
        <w:t xml:space="preserve">a further </w:t>
      </w:r>
      <w:r w:rsidR="006D0646" w:rsidRPr="003A54AA">
        <w:rPr>
          <w:rFonts w:ascii="Tahoma" w:hAnsi="Tahoma" w:cs="Tahoma"/>
          <w:noProof/>
          <w:sz w:val="24"/>
          <w:szCs w:val="24"/>
          <w:lang w:eastAsia="en-GB"/>
        </w:rPr>
        <w:t>15</w:t>
      </w:r>
      <w:r w:rsidR="007F6C03" w:rsidRPr="003A54AA">
        <w:rPr>
          <w:rFonts w:ascii="Tahoma" w:hAnsi="Tahoma" w:cs="Tahoma"/>
          <w:noProof/>
          <w:sz w:val="24"/>
          <w:szCs w:val="24"/>
          <w:lang w:eastAsia="en-GB"/>
        </w:rPr>
        <w:t>4 hectares of zoned industrial land remaining un</w:t>
      </w:r>
      <w:r w:rsidR="006D0646" w:rsidRPr="003A54AA">
        <w:rPr>
          <w:rFonts w:ascii="Tahoma" w:hAnsi="Tahoma" w:cs="Tahoma"/>
          <w:noProof/>
          <w:sz w:val="24"/>
          <w:szCs w:val="24"/>
          <w:lang w:eastAsia="en-GB"/>
        </w:rPr>
        <w:t xml:space="preserve">developed across the Council district. The majority of undeveloped land is located within the two main urban centres of Newry and Downpatrick.  In Newry </w:t>
      </w:r>
      <w:r w:rsidR="00CE4A29" w:rsidRPr="003A54AA">
        <w:rPr>
          <w:rFonts w:ascii="Tahoma" w:hAnsi="Tahoma" w:cs="Tahoma"/>
          <w:noProof/>
          <w:sz w:val="24"/>
          <w:szCs w:val="24"/>
          <w:lang w:eastAsia="en-GB"/>
        </w:rPr>
        <w:t xml:space="preserve">96 hectares are undeveloped with the majority </w:t>
      </w:r>
      <w:r w:rsidR="002E5CBF" w:rsidRPr="003A54AA">
        <w:rPr>
          <w:rFonts w:ascii="Tahoma" w:hAnsi="Tahoma" w:cs="Tahoma"/>
          <w:noProof/>
          <w:sz w:val="24"/>
          <w:szCs w:val="24"/>
          <w:lang w:eastAsia="en-GB"/>
        </w:rPr>
        <w:t xml:space="preserve">concentred to the north of the city </w:t>
      </w:r>
      <w:r w:rsidR="00CE4A29" w:rsidRPr="003A54AA">
        <w:rPr>
          <w:rFonts w:ascii="Tahoma" w:hAnsi="Tahoma" w:cs="Tahoma"/>
          <w:noProof/>
          <w:sz w:val="24"/>
          <w:szCs w:val="24"/>
          <w:lang w:eastAsia="en-GB"/>
        </w:rPr>
        <w:t>at Carnbane Business Park.</w:t>
      </w:r>
      <w:r w:rsidR="00BA3F3C" w:rsidRPr="003A54AA">
        <w:rPr>
          <w:rFonts w:ascii="Tahoma" w:hAnsi="Tahoma" w:cs="Tahoma"/>
          <w:noProof/>
          <w:sz w:val="24"/>
          <w:szCs w:val="24"/>
          <w:lang w:eastAsia="en-GB"/>
        </w:rPr>
        <w:t xml:space="preserve"> In Downpatrick </w:t>
      </w:r>
      <w:r w:rsidR="00AD544E" w:rsidRPr="003A54AA">
        <w:rPr>
          <w:rFonts w:ascii="Tahoma" w:hAnsi="Tahoma" w:cs="Tahoma"/>
          <w:noProof/>
          <w:sz w:val="24"/>
          <w:szCs w:val="24"/>
          <w:lang w:eastAsia="en-GB"/>
        </w:rPr>
        <w:t>42 hectares are undeveloped, evenly distributed between the Down Business Park and lands at Killough Road.</w:t>
      </w:r>
    </w:p>
    <w:p w:rsidR="00191974" w:rsidRPr="003A54AA" w:rsidRDefault="00191974" w:rsidP="00185000">
      <w:pPr>
        <w:autoSpaceDE w:val="0"/>
        <w:autoSpaceDN w:val="0"/>
        <w:adjustRightInd w:val="0"/>
        <w:spacing w:after="0" w:line="240" w:lineRule="auto"/>
        <w:jc w:val="both"/>
        <w:rPr>
          <w:rFonts w:ascii="Tahoma" w:hAnsi="Tahoma" w:cs="Tahoma"/>
          <w:noProof/>
          <w:sz w:val="24"/>
          <w:szCs w:val="24"/>
          <w:lang w:eastAsia="en-GB"/>
        </w:rPr>
      </w:pPr>
    </w:p>
    <w:p w:rsidR="005777F3" w:rsidRPr="003A54AA" w:rsidRDefault="00313304" w:rsidP="00185000">
      <w:pPr>
        <w:autoSpaceDE w:val="0"/>
        <w:autoSpaceDN w:val="0"/>
        <w:adjustRightInd w:val="0"/>
        <w:spacing w:after="0" w:line="240" w:lineRule="auto"/>
        <w:jc w:val="both"/>
        <w:rPr>
          <w:rFonts w:ascii="Tahoma" w:hAnsi="Tahoma" w:cs="Tahoma"/>
          <w:noProof/>
          <w:sz w:val="24"/>
          <w:szCs w:val="24"/>
          <w:lang w:eastAsia="en-GB"/>
        </w:rPr>
      </w:pPr>
      <w:r w:rsidRPr="003A54AA">
        <w:rPr>
          <w:rFonts w:ascii="Tahoma" w:hAnsi="Tahoma" w:cs="Tahoma"/>
          <w:b/>
          <w:noProof/>
          <w:sz w:val="24"/>
          <w:szCs w:val="24"/>
          <w:lang w:eastAsia="en-GB"/>
        </w:rPr>
        <w:t>6</w:t>
      </w:r>
      <w:r w:rsidR="007F6C03" w:rsidRPr="003A54AA">
        <w:rPr>
          <w:rFonts w:ascii="Tahoma" w:hAnsi="Tahoma" w:cs="Tahoma"/>
          <w:b/>
          <w:noProof/>
          <w:sz w:val="24"/>
          <w:szCs w:val="24"/>
          <w:lang w:eastAsia="en-GB"/>
        </w:rPr>
        <w:t>.32</w:t>
      </w:r>
      <w:r w:rsidR="005777F3" w:rsidRPr="003A54AA">
        <w:rPr>
          <w:rFonts w:ascii="Tahoma" w:hAnsi="Tahoma" w:cs="Tahoma"/>
          <w:noProof/>
          <w:sz w:val="24"/>
          <w:szCs w:val="24"/>
          <w:lang w:eastAsia="en-GB"/>
        </w:rPr>
        <w:t xml:space="preserve"> </w:t>
      </w:r>
      <w:r w:rsidR="003F2672">
        <w:rPr>
          <w:rFonts w:ascii="Tahoma" w:hAnsi="Tahoma" w:cs="Tahoma"/>
          <w:noProof/>
          <w:sz w:val="24"/>
          <w:szCs w:val="24"/>
          <w:lang w:eastAsia="en-GB"/>
        </w:rPr>
        <w:tab/>
      </w:r>
      <w:r w:rsidR="005777F3" w:rsidRPr="003A54AA">
        <w:rPr>
          <w:rFonts w:ascii="Tahoma" w:hAnsi="Tahoma" w:cs="Tahoma"/>
          <w:noProof/>
          <w:sz w:val="24"/>
          <w:szCs w:val="24"/>
          <w:lang w:eastAsia="en-GB"/>
        </w:rPr>
        <w:t xml:space="preserve">The majority of industrial development in </w:t>
      </w:r>
      <w:r w:rsidR="0049163F" w:rsidRPr="003A54AA">
        <w:rPr>
          <w:rFonts w:ascii="Tahoma" w:hAnsi="Tahoma" w:cs="Tahoma"/>
          <w:noProof/>
          <w:sz w:val="24"/>
          <w:szCs w:val="24"/>
          <w:lang w:eastAsia="en-GB"/>
        </w:rPr>
        <w:t xml:space="preserve">both </w:t>
      </w:r>
      <w:r w:rsidR="005777F3" w:rsidRPr="003A54AA">
        <w:rPr>
          <w:rFonts w:ascii="Tahoma" w:hAnsi="Tahoma" w:cs="Tahoma"/>
          <w:noProof/>
          <w:sz w:val="24"/>
          <w:szCs w:val="24"/>
          <w:lang w:eastAsia="en-GB"/>
        </w:rPr>
        <w:t>Newry and Mourne</w:t>
      </w:r>
      <w:r w:rsidR="00BC4A23" w:rsidRPr="003A54AA">
        <w:rPr>
          <w:rFonts w:ascii="Tahoma" w:hAnsi="Tahoma" w:cs="Tahoma"/>
          <w:noProof/>
          <w:sz w:val="24"/>
          <w:szCs w:val="24"/>
          <w:lang w:eastAsia="en-GB"/>
        </w:rPr>
        <w:t xml:space="preserve">, </w:t>
      </w:r>
      <w:r w:rsidR="0049163F" w:rsidRPr="003A54AA">
        <w:rPr>
          <w:rFonts w:ascii="Tahoma" w:hAnsi="Tahoma" w:cs="Tahoma"/>
          <w:noProof/>
          <w:sz w:val="24"/>
          <w:szCs w:val="24"/>
          <w:lang w:eastAsia="en-GB"/>
        </w:rPr>
        <w:t xml:space="preserve">and Down </w:t>
      </w:r>
      <w:r w:rsidR="005777F3" w:rsidRPr="003A54AA">
        <w:rPr>
          <w:rFonts w:ascii="Tahoma" w:hAnsi="Tahoma" w:cs="Tahoma"/>
          <w:noProof/>
          <w:sz w:val="24"/>
          <w:szCs w:val="24"/>
          <w:lang w:eastAsia="en-GB"/>
        </w:rPr>
        <w:t xml:space="preserve">has been for </w:t>
      </w:r>
      <w:r w:rsidR="00DB457E" w:rsidRPr="003A54AA">
        <w:rPr>
          <w:rFonts w:ascii="Tahoma" w:hAnsi="Tahoma" w:cs="Tahoma"/>
          <w:noProof/>
          <w:sz w:val="24"/>
          <w:szCs w:val="24"/>
          <w:lang w:eastAsia="en-GB"/>
        </w:rPr>
        <w:t xml:space="preserve"> </w:t>
      </w:r>
      <w:r w:rsidR="0049163F" w:rsidRPr="003A54AA">
        <w:rPr>
          <w:rFonts w:ascii="Tahoma" w:hAnsi="Tahoma" w:cs="Tahoma"/>
          <w:noProof/>
          <w:sz w:val="24"/>
          <w:szCs w:val="24"/>
          <w:lang w:eastAsia="en-GB"/>
        </w:rPr>
        <w:t xml:space="preserve">general </w:t>
      </w:r>
      <w:r w:rsidR="00DB457E" w:rsidRPr="003A54AA">
        <w:rPr>
          <w:rFonts w:ascii="Tahoma" w:hAnsi="Tahoma" w:cs="Tahoma"/>
          <w:noProof/>
          <w:sz w:val="24"/>
          <w:szCs w:val="24"/>
          <w:lang w:eastAsia="en-GB"/>
        </w:rPr>
        <w:t xml:space="preserve">industry </w:t>
      </w:r>
      <w:r w:rsidR="005777F3" w:rsidRPr="003A54AA">
        <w:rPr>
          <w:rFonts w:ascii="Tahoma" w:hAnsi="Tahoma" w:cs="Tahoma"/>
          <w:noProof/>
          <w:sz w:val="24"/>
          <w:szCs w:val="24"/>
          <w:lang w:eastAsia="en-GB"/>
        </w:rPr>
        <w:t xml:space="preserve">(The Planning (Use Classes) Order (Northern Ireland) 2015 – UCO class </w:t>
      </w:r>
      <w:r w:rsidR="0049163F" w:rsidRPr="003A54AA">
        <w:rPr>
          <w:rFonts w:ascii="Tahoma" w:hAnsi="Tahoma" w:cs="Tahoma"/>
          <w:noProof/>
          <w:sz w:val="24"/>
          <w:szCs w:val="24"/>
          <w:lang w:eastAsia="en-GB"/>
        </w:rPr>
        <w:t>B4</w:t>
      </w:r>
      <w:r w:rsidR="005777F3" w:rsidRPr="003A54AA">
        <w:rPr>
          <w:rFonts w:ascii="Tahoma" w:hAnsi="Tahoma" w:cs="Tahoma"/>
          <w:noProof/>
          <w:sz w:val="24"/>
          <w:szCs w:val="24"/>
          <w:lang w:eastAsia="en-GB"/>
        </w:rPr>
        <w:t>)</w:t>
      </w:r>
      <w:r w:rsidR="0049163F" w:rsidRPr="003A54AA">
        <w:rPr>
          <w:rFonts w:ascii="Tahoma" w:hAnsi="Tahoma" w:cs="Tahoma"/>
          <w:noProof/>
          <w:sz w:val="24"/>
          <w:szCs w:val="24"/>
          <w:lang w:eastAsia="en-GB"/>
        </w:rPr>
        <w:t xml:space="preserve"> together with</w:t>
      </w:r>
      <w:r w:rsidR="00DB457E" w:rsidRPr="003A54AA">
        <w:rPr>
          <w:rFonts w:ascii="Tahoma" w:hAnsi="Tahoma" w:cs="Tahoma"/>
          <w:noProof/>
          <w:sz w:val="24"/>
          <w:szCs w:val="24"/>
          <w:lang w:eastAsia="en-GB"/>
        </w:rPr>
        <w:t xml:space="preserve"> storage and distribiution (UCO B4)</w:t>
      </w:r>
      <w:r w:rsidR="005777F3" w:rsidRPr="003A54AA">
        <w:rPr>
          <w:rFonts w:ascii="Tahoma" w:hAnsi="Tahoma" w:cs="Tahoma"/>
          <w:noProof/>
          <w:sz w:val="24"/>
          <w:szCs w:val="24"/>
          <w:lang w:eastAsia="en-GB"/>
        </w:rPr>
        <w:t>.</w:t>
      </w:r>
    </w:p>
    <w:p w:rsidR="006D0646" w:rsidRPr="003A54AA" w:rsidRDefault="006D0646" w:rsidP="00B94C4F">
      <w:pPr>
        <w:autoSpaceDE w:val="0"/>
        <w:autoSpaceDN w:val="0"/>
        <w:adjustRightInd w:val="0"/>
        <w:spacing w:after="0" w:line="240" w:lineRule="auto"/>
        <w:rPr>
          <w:rFonts w:ascii="Tahoma" w:hAnsi="Tahoma" w:cs="Tahoma"/>
          <w:b/>
          <w:bCs/>
          <w:sz w:val="28"/>
          <w:szCs w:val="28"/>
        </w:rPr>
      </w:pPr>
    </w:p>
    <w:p w:rsidR="00482EB1" w:rsidRPr="003A54AA" w:rsidRDefault="00482EB1" w:rsidP="00B94C4F">
      <w:pPr>
        <w:autoSpaceDE w:val="0"/>
        <w:autoSpaceDN w:val="0"/>
        <w:adjustRightInd w:val="0"/>
        <w:spacing w:after="0" w:line="240" w:lineRule="auto"/>
        <w:rPr>
          <w:rFonts w:ascii="Tahoma" w:hAnsi="Tahoma" w:cs="Tahoma"/>
          <w:b/>
          <w:bCs/>
          <w:sz w:val="28"/>
          <w:szCs w:val="28"/>
        </w:rPr>
      </w:pPr>
    </w:p>
    <w:p w:rsidR="00B94C4F" w:rsidRPr="003A54AA" w:rsidRDefault="00313304" w:rsidP="00B94C4F">
      <w:pPr>
        <w:autoSpaceDE w:val="0"/>
        <w:autoSpaceDN w:val="0"/>
        <w:adjustRightInd w:val="0"/>
        <w:spacing w:after="0" w:line="240" w:lineRule="auto"/>
        <w:rPr>
          <w:rFonts w:ascii="Tahoma" w:hAnsi="Tahoma" w:cs="Tahoma"/>
          <w:b/>
          <w:bCs/>
          <w:sz w:val="28"/>
          <w:szCs w:val="28"/>
        </w:rPr>
      </w:pPr>
      <w:r w:rsidRPr="003A54AA">
        <w:rPr>
          <w:rFonts w:ascii="Tahoma" w:hAnsi="Tahoma" w:cs="Tahoma"/>
          <w:b/>
          <w:bCs/>
          <w:sz w:val="28"/>
          <w:szCs w:val="28"/>
        </w:rPr>
        <w:t>7</w:t>
      </w:r>
      <w:r w:rsidR="00B94C4F" w:rsidRPr="003A54AA">
        <w:rPr>
          <w:rFonts w:ascii="Tahoma" w:hAnsi="Tahoma" w:cs="Tahoma"/>
          <w:b/>
          <w:bCs/>
          <w:sz w:val="28"/>
          <w:szCs w:val="28"/>
        </w:rPr>
        <w:t xml:space="preserve">.0 </w:t>
      </w:r>
      <w:r w:rsidR="003F2672">
        <w:rPr>
          <w:rFonts w:ascii="Tahoma" w:hAnsi="Tahoma" w:cs="Tahoma"/>
          <w:b/>
          <w:bCs/>
          <w:sz w:val="28"/>
          <w:szCs w:val="28"/>
        </w:rPr>
        <w:tab/>
      </w:r>
      <w:r w:rsidR="00B94C4F" w:rsidRPr="003A54AA">
        <w:rPr>
          <w:rFonts w:ascii="Tahoma" w:hAnsi="Tahoma" w:cs="Tahoma"/>
          <w:b/>
          <w:bCs/>
          <w:sz w:val="28"/>
          <w:szCs w:val="28"/>
        </w:rPr>
        <w:t>The Need for Future Employment Opportunities</w:t>
      </w:r>
    </w:p>
    <w:p w:rsidR="00B94C4F" w:rsidRPr="003A54AA" w:rsidRDefault="00B94C4F" w:rsidP="00B94C4F">
      <w:pPr>
        <w:autoSpaceDE w:val="0"/>
        <w:autoSpaceDN w:val="0"/>
        <w:adjustRightInd w:val="0"/>
        <w:spacing w:after="0" w:line="240" w:lineRule="auto"/>
        <w:rPr>
          <w:rFonts w:ascii="Tahoma" w:hAnsi="Tahoma" w:cs="Tahoma"/>
          <w:b/>
          <w:bCs/>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.1 </w:t>
      </w:r>
      <w:r w:rsidR="003F2672">
        <w:rPr>
          <w:rFonts w:ascii="Tahoma" w:hAnsi="Tahoma" w:cs="Tahoma"/>
          <w:b/>
          <w:bCs/>
          <w:sz w:val="24"/>
          <w:szCs w:val="24"/>
        </w:rPr>
        <w:tab/>
      </w:r>
      <w:r w:rsidR="00B94C4F" w:rsidRPr="003A54AA">
        <w:rPr>
          <w:rFonts w:ascii="Tahoma" w:hAnsi="Tahoma" w:cs="Tahoma"/>
          <w:sz w:val="24"/>
          <w:szCs w:val="24"/>
        </w:rPr>
        <w:t>As part of the preparation of the local development plan, an estimate of the</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amount</w:t>
      </w:r>
      <w:proofErr w:type="gramEnd"/>
      <w:r w:rsidRPr="003A54AA">
        <w:rPr>
          <w:rFonts w:ascii="Tahoma" w:hAnsi="Tahoma" w:cs="Tahoma"/>
          <w:sz w:val="24"/>
          <w:szCs w:val="24"/>
        </w:rPr>
        <w:t xml:space="preserve"> and the location of land are required to ensure an ample supply of</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suitable</w:t>
      </w:r>
      <w:proofErr w:type="gramEnd"/>
      <w:r w:rsidRPr="003A54AA">
        <w:rPr>
          <w:rFonts w:ascii="Tahoma" w:hAnsi="Tahoma" w:cs="Tahoma"/>
          <w:sz w:val="24"/>
          <w:szCs w:val="24"/>
        </w:rPr>
        <w:t xml:space="preserve"> land is available to meet economic development needs. This should</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take</w:t>
      </w:r>
      <w:proofErr w:type="gramEnd"/>
      <w:r w:rsidRPr="003A54AA">
        <w:rPr>
          <w:rFonts w:ascii="Tahoma" w:hAnsi="Tahoma" w:cs="Tahoma"/>
          <w:sz w:val="24"/>
          <w:szCs w:val="24"/>
        </w:rPr>
        <w:t xml:space="preserve"> into account various factors including past trends in take-up of land for</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economic</w:t>
      </w:r>
      <w:proofErr w:type="gramEnd"/>
      <w:r w:rsidRPr="003A54AA">
        <w:rPr>
          <w:rFonts w:ascii="Tahoma" w:hAnsi="Tahoma" w:cs="Tahoma"/>
          <w:sz w:val="24"/>
          <w:szCs w:val="24"/>
        </w:rPr>
        <w:t xml:space="preserve"> development purpose.</w:t>
      </w:r>
    </w:p>
    <w:p w:rsidR="00B94C4F" w:rsidRPr="003A54AA" w:rsidRDefault="00B94C4F" w:rsidP="00185000">
      <w:pPr>
        <w:autoSpaceDE w:val="0"/>
        <w:autoSpaceDN w:val="0"/>
        <w:adjustRightInd w:val="0"/>
        <w:spacing w:after="0" w:line="240" w:lineRule="auto"/>
        <w:jc w:val="both"/>
        <w:rPr>
          <w:rFonts w:ascii="Tahoma" w:hAnsi="Tahoma" w:cs="Tahoma"/>
          <w:b/>
          <w:bCs/>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.2 </w:t>
      </w:r>
      <w:r w:rsidR="003F2672">
        <w:rPr>
          <w:rFonts w:ascii="Tahoma" w:hAnsi="Tahoma" w:cs="Tahoma"/>
          <w:b/>
          <w:bCs/>
          <w:sz w:val="24"/>
          <w:szCs w:val="24"/>
        </w:rPr>
        <w:tab/>
      </w:r>
      <w:r w:rsidR="00B94C4F" w:rsidRPr="003A54AA">
        <w:rPr>
          <w:rFonts w:ascii="Tahoma" w:hAnsi="Tahoma" w:cs="Tahoma"/>
          <w:sz w:val="24"/>
          <w:szCs w:val="24"/>
        </w:rPr>
        <w:t>In order to estimate the amount of land required, three methodologies are</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used</w:t>
      </w:r>
      <w:proofErr w:type="gramEnd"/>
      <w:r w:rsidRPr="003A54AA">
        <w:rPr>
          <w:rFonts w:ascii="Tahoma" w:hAnsi="Tahoma" w:cs="Tahoma"/>
          <w:sz w:val="24"/>
          <w:szCs w:val="24"/>
        </w:rPr>
        <w:t xml:space="preserve"> as follows:-</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1</w:t>
      </w:r>
      <w:r w:rsidR="00464E2C" w:rsidRPr="003A54AA">
        <w:rPr>
          <w:rFonts w:ascii="Tahoma" w:hAnsi="Tahoma" w:cs="Tahoma"/>
          <w:sz w:val="24"/>
          <w:szCs w:val="24"/>
        </w:rPr>
        <w:t>. - B</w:t>
      </w:r>
      <w:r w:rsidRPr="003A54AA">
        <w:rPr>
          <w:rFonts w:ascii="Tahoma" w:hAnsi="Tahoma" w:cs="Tahoma"/>
          <w:sz w:val="24"/>
          <w:szCs w:val="24"/>
        </w:rPr>
        <w:t>ased on the amount of land developed to date;</w:t>
      </w:r>
    </w:p>
    <w:p w:rsidR="00B94C4F" w:rsidRPr="003A54AA" w:rsidRDefault="00464E2C"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2. - B</w:t>
      </w:r>
      <w:r w:rsidR="00B94C4F" w:rsidRPr="003A54AA">
        <w:rPr>
          <w:rFonts w:ascii="Tahoma" w:hAnsi="Tahoma" w:cs="Tahoma"/>
          <w:sz w:val="24"/>
          <w:szCs w:val="24"/>
        </w:rPr>
        <w:t>ased on population growth and unemployme</w:t>
      </w:r>
      <w:r w:rsidR="006E378D" w:rsidRPr="003A54AA">
        <w:rPr>
          <w:rFonts w:ascii="Tahoma" w:hAnsi="Tahoma" w:cs="Tahoma"/>
          <w:sz w:val="24"/>
          <w:szCs w:val="24"/>
        </w:rPr>
        <w:t>n</w:t>
      </w:r>
      <w:r w:rsidR="00B94C4F" w:rsidRPr="003A54AA">
        <w:rPr>
          <w:rFonts w:ascii="Tahoma" w:hAnsi="Tahoma" w:cs="Tahoma"/>
          <w:sz w:val="24"/>
          <w:szCs w:val="24"/>
        </w:rPr>
        <w:t>t; and</w:t>
      </w:r>
    </w:p>
    <w:p w:rsidR="00B94C4F" w:rsidRPr="003A54AA" w:rsidRDefault="00464E2C"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3. - B</w:t>
      </w:r>
      <w:r w:rsidR="00B94C4F" w:rsidRPr="003A54AA">
        <w:rPr>
          <w:rFonts w:ascii="Tahoma" w:hAnsi="Tahoma" w:cs="Tahoma"/>
          <w:sz w:val="24"/>
          <w:szCs w:val="24"/>
        </w:rPr>
        <w:t>ased on applying the average</w:t>
      </w:r>
      <w:r w:rsidR="00185000">
        <w:rPr>
          <w:rFonts w:ascii="Tahoma" w:hAnsi="Tahoma" w:cs="Tahoma"/>
          <w:sz w:val="24"/>
          <w:szCs w:val="24"/>
        </w:rPr>
        <w:t xml:space="preserve"> number of jobs created between </w:t>
      </w:r>
      <w:r w:rsidR="00545425">
        <w:rPr>
          <w:rFonts w:ascii="Tahoma" w:hAnsi="Tahoma" w:cs="Tahoma"/>
          <w:sz w:val="24"/>
          <w:szCs w:val="24"/>
        </w:rPr>
        <w:t>1999</w:t>
      </w:r>
      <w:r w:rsidR="00B94C4F" w:rsidRPr="003A54AA">
        <w:rPr>
          <w:rFonts w:ascii="Tahoma" w:hAnsi="Tahoma" w:cs="Tahoma"/>
          <w:sz w:val="24"/>
          <w:szCs w:val="24"/>
        </w:rPr>
        <w:t xml:space="preserve"> and 2013.</w:t>
      </w:r>
    </w:p>
    <w:p w:rsidR="00B94C4F" w:rsidRPr="003A54AA" w:rsidRDefault="00B94C4F" w:rsidP="00B94C4F">
      <w:pPr>
        <w:autoSpaceDE w:val="0"/>
        <w:autoSpaceDN w:val="0"/>
        <w:adjustRightInd w:val="0"/>
        <w:spacing w:after="0" w:line="240" w:lineRule="auto"/>
        <w:rPr>
          <w:rFonts w:ascii="Tahoma" w:hAnsi="Tahoma" w:cs="Tahoma"/>
          <w:i/>
          <w:iCs/>
          <w:sz w:val="24"/>
          <w:szCs w:val="24"/>
        </w:rPr>
      </w:pPr>
    </w:p>
    <w:p w:rsidR="00B94C4F" w:rsidRPr="003A54AA" w:rsidRDefault="00464E2C" w:rsidP="00B94C4F">
      <w:pPr>
        <w:autoSpaceDE w:val="0"/>
        <w:autoSpaceDN w:val="0"/>
        <w:adjustRightInd w:val="0"/>
        <w:spacing w:after="0" w:line="240" w:lineRule="auto"/>
        <w:rPr>
          <w:rFonts w:ascii="Tahoma" w:hAnsi="Tahoma" w:cs="Tahoma"/>
          <w:i/>
          <w:iCs/>
          <w:sz w:val="24"/>
          <w:szCs w:val="24"/>
        </w:rPr>
      </w:pPr>
      <w:r w:rsidRPr="003A54AA">
        <w:rPr>
          <w:rFonts w:ascii="Tahoma" w:hAnsi="Tahoma" w:cs="Tahoma"/>
          <w:i/>
          <w:iCs/>
          <w:sz w:val="24"/>
          <w:szCs w:val="24"/>
        </w:rPr>
        <w:t>(a) Method</w:t>
      </w:r>
      <w:r w:rsidR="00B94C4F" w:rsidRPr="003A54AA">
        <w:rPr>
          <w:rFonts w:ascii="Tahoma" w:hAnsi="Tahoma" w:cs="Tahoma"/>
          <w:i/>
          <w:iCs/>
          <w:sz w:val="24"/>
          <w:szCs w:val="24"/>
        </w:rPr>
        <w:t xml:space="preserve"> 1</w:t>
      </w:r>
      <w:r w:rsidRPr="003A54AA">
        <w:rPr>
          <w:rFonts w:ascii="Tahoma" w:hAnsi="Tahoma" w:cs="Tahoma"/>
          <w:i/>
          <w:iCs/>
          <w:sz w:val="24"/>
          <w:szCs w:val="24"/>
        </w:rPr>
        <w:t>- based on the amount of land developed to date</w:t>
      </w:r>
    </w:p>
    <w:p w:rsidR="00B94C4F" w:rsidRPr="003A54AA" w:rsidRDefault="00B94C4F" w:rsidP="00B94C4F">
      <w:pPr>
        <w:autoSpaceDE w:val="0"/>
        <w:autoSpaceDN w:val="0"/>
        <w:adjustRightInd w:val="0"/>
        <w:spacing w:after="0" w:line="240" w:lineRule="auto"/>
        <w:rPr>
          <w:rFonts w:ascii="Tahoma" w:hAnsi="Tahoma" w:cs="Tahoma"/>
          <w:b/>
          <w:bCs/>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.3 </w:t>
      </w:r>
      <w:r w:rsidR="003F2672">
        <w:rPr>
          <w:rFonts w:ascii="Tahoma" w:hAnsi="Tahoma" w:cs="Tahoma"/>
          <w:b/>
          <w:bCs/>
          <w:sz w:val="24"/>
          <w:szCs w:val="24"/>
        </w:rPr>
        <w:tab/>
      </w:r>
      <w:r w:rsidR="00B94C4F" w:rsidRPr="003A54AA">
        <w:rPr>
          <w:rFonts w:ascii="Tahoma" w:hAnsi="Tahoma" w:cs="Tahoma"/>
          <w:sz w:val="24"/>
          <w:szCs w:val="24"/>
        </w:rPr>
        <w:t>The average ta</w:t>
      </w:r>
      <w:r w:rsidR="00FC2522" w:rsidRPr="003A54AA">
        <w:rPr>
          <w:rFonts w:ascii="Tahoma" w:hAnsi="Tahoma" w:cs="Tahoma"/>
          <w:sz w:val="24"/>
          <w:szCs w:val="24"/>
        </w:rPr>
        <w:t xml:space="preserve">ke up of land zoned in Newry and </w:t>
      </w:r>
      <w:proofErr w:type="spellStart"/>
      <w:r w:rsidR="00FC2522" w:rsidRPr="003A54AA">
        <w:rPr>
          <w:rFonts w:ascii="Tahoma" w:hAnsi="Tahoma" w:cs="Tahoma"/>
          <w:sz w:val="24"/>
          <w:szCs w:val="24"/>
        </w:rPr>
        <w:t>Mourne</w:t>
      </w:r>
      <w:proofErr w:type="spellEnd"/>
      <w:r w:rsidR="00FC2522" w:rsidRPr="003A54AA">
        <w:rPr>
          <w:rFonts w:ascii="Tahoma" w:hAnsi="Tahoma" w:cs="Tahoma"/>
          <w:sz w:val="24"/>
          <w:szCs w:val="24"/>
        </w:rPr>
        <w:t xml:space="preserve"> </w:t>
      </w:r>
      <w:r w:rsidR="00476025" w:rsidRPr="003A54AA">
        <w:rPr>
          <w:rFonts w:ascii="Tahoma" w:hAnsi="Tahoma" w:cs="Tahoma"/>
          <w:sz w:val="24"/>
          <w:szCs w:val="24"/>
        </w:rPr>
        <w:t xml:space="preserve">over the </w:t>
      </w:r>
      <w:r w:rsidR="00BC4A23" w:rsidRPr="003A54AA">
        <w:rPr>
          <w:rFonts w:ascii="Tahoma" w:hAnsi="Tahoma" w:cs="Tahoma"/>
          <w:sz w:val="24"/>
          <w:szCs w:val="24"/>
        </w:rPr>
        <w:t xml:space="preserve">BNMAP </w:t>
      </w:r>
      <w:r w:rsidR="00476025" w:rsidRPr="003A54AA">
        <w:rPr>
          <w:rFonts w:ascii="Tahoma" w:hAnsi="Tahoma" w:cs="Tahoma"/>
          <w:sz w:val="24"/>
          <w:szCs w:val="24"/>
        </w:rPr>
        <w:t>period</w:t>
      </w:r>
      <w:r w:rsidR="00FC2522" w:rsidRPr="003A54AA">
        <w:rPr>
          <w:rFonts w:ascii="Tahoma" w:hAnsi="Tahoma" w:cs="Tahoma"/>
          <w:sz w:val="24"/>
          <w:szCs w:val="24"/>
        </w:rPr>
        <w:t xml:space="preserve"> </w:t>
      </w:r>
      <w:r w:rsidR="00476025" w:rsidRPr="003A54AA">
        <w:rPr>
          <w:rFonts w:ascii="Tahoma" w:hAnsi="Tahoma" w:cs="Tahoma"/>
          <w:sz w:val="24"/>
          <w:szCs w:val="24"/>
        </w:rPr>
        <w:t xml:space="preserve">(2000 to 2015) </w:t>
      </w:r>
      <w:r w:rsidR="00FC2522" w:rsidRPr="003A54AA">
        <w:rPr>
          <w:rFonts w:ascii="Tahoma" w:hAnsi="Tahoma" w:cs="Tahoma"/>
          <w:sz w:val="24"/>
          <w:szCs w:val="24"/>
        </w:rPr>
        <w:t xml:space="preserve">is </w:t>
      </w:r>
      <w:r w:rsidR="005D135B" w:rsidRPr="003A54AA">
        <w:rPr>
          <w:rFonts w:ascii="Tahoma" w:hAnsi="Tahoma" w:cs="Tahoma"/>
          <w:sz w:val="24"/>
          <w:szCs w:val="24"/>
        </w:rPr>
        <w:t>1.4</w:t>
      </w:r>
      <w:r w:rsidR="00B94C4F" w:rsidRPr="003A54AA">
        <w:rPr>
          <w:rFonts w:ascii="Tahoma" w:hAnsi="Tahoma" w:cs="Tahoma"/>
          <w:sz w:val="24"/>
          <w:szCs w:val="24"/>
        </w:rPr>
        <w:t xml:space="preserve"> hectar</w:t>
      </w:r>
      <w:r w:rsidR="00FC2522" w:rsidRPr="003A54AA">
        <w:rPr>
          <w:rFonts w:ascii="Tahoma" w:hAnsi="Tahoma" w:cs="Tahoma"/>
          <w:sz w:val="24"/>
          <w:szCs w:val="24"/>
        </w:rPr>
        <w:t xml:space="preserve">es per annum, suggesting that </w:t>
      </w:r>
      <w:r w:rsidR="00983A2A" w:rsidRPr="003A54AA">
        <w:rPr>
          <w:rFonts w:ascii="Tahoma" w:hAnsi="Tahoma" w:cs="Tahoma"/>
          <w:sz w:val="24"/>
          <w:szCs w:val="24"/>
        </w:rPr>
        <w:t>21.02</w:t>
      </w:r>
      <w:r w:rsidR="00B94C4F" w:rsidRPr="003A54AA">
        <w:rPr>
          <w:rFonts w:ascii="Tahoma" w:hAnsi="Tahoma" w:cs="Tahoma"/>
          <w:sz w:val="24"/>
          <w:szCs w:val="24"/>
        </w:rPr>
        <w:t xml:space="preserve"> hectares will be needed up to 2030. Theoretically there i</w:t>
      </w:r>
      <w:r w:rsidR="00FC2522" w:rsidRPr="003A54AA">
        <w:rPr>
          <w:rFonts w:ascii="Tahoma" w:hAnsi="Tahoma" w:cs="Tahoma"/>
          <w:sz w:val="24"/>
          <w:szCs w:val="24"/>
        </w:rPr>
        <w:t xml:space="preserve">s sufficient land zoned in Newry and </w:t>
      </w:r>
      <w:proofErr w:type="spellStart"/>
      <w:r w:rsidR="00FC2522" w:rsidRPr="003A54AA">
        <w:rPr>
          <w:rFonts w:ascii="Tahoma" w:hAnsi="Tahoma" w:cs="Tahoma"/>
          <w:sz w:val="24"/>
          <w:szCs w:val="24"/>
        </w:rPr>
        <w:t>Mourne</w:t>
      </w:r>
      <w:proofErr w:type="spellEnd"/>
      <w:r w:rsidR="00B94C4F" w:rsidRPr="003A54AA">
        <w:rPr>
          <w:rFonts w:ascii="Tahoma" w:hAnsi="Tahoma" w:cs="Tahoma"/>
          <w:sz w:val="24"/>
          <w:szCs w:val="24"/>
        </w:rPr>
        <w:t xml:space="preserve"> to meet demand past 2030 based on past rates of uptake. </w:t>
      </w:r>
      <w:r w:rsidR="0077284B" w:rsidRPr="003A54AA">
        <w:rPr>
          <w:rFonts w:ascii="Tahoma" w:hAnsi="Tahoma" w:cs="Tahoma"/>
          <w:sz w:val="24"/>
          <w:szCs w:val="24"/>
        </w:rPr>
        <w:t xml:space="preserve">For Down, </w:t>
      </w:r>
      <w:r w:rsidR="00CE70BD">
        <w:rPr>
          <w:rFonts w:ascii="Tahoma" w:hAnsi="Tahoma" w:cs="Tahoma"/>
          <w:sz w:val="24"/>
          <w:szCs w:val="24"/>
        </w:rPr>
        <w:t xml:space="preserve">over the ADAP </w:t>
      </w:r>
      <w:r w:rsidR="00BC4A23" w:rsidRPr="003A54AA">
        <w:rPr>
          <w:rFonts w:ascii="Tahoma" w:hAnsi="Tahoma" w:cs="Tahoma"/>
          <w:sz w:val="24"/>
          <w:szCs w:val="24"/>
        </w:rPr>
        <w:t>period (2000 to 2015)</w:t>
      </w:r>
      <w:r w:rsidR="0077284B" w:rsidRPr="003A54AA">
        <w:rPr>
          <w:rFonts w:ascii="Tahoma" w:hAnsi="Tahoma" w:cs="Tahoma"/>
          <w:sz w:val="24"/>
          <w:szCs w:val="24"/>
        </w:rPr>
        <w:t xml:space="preserve"> the average take up </w:t>
      </w:r>
      <w:proofErr w:type="gramStart"/>
      <w:r w:rsidR="0077284B" w:rsidRPr="003A54AA">
        <w:rPr>
          <w:rFonts w:ascii="Tahoma" w:hAnsi="Tahoma" w:cs="Tahoma"/>
          <w:sz w:val="24"/>
          <w:szCs w:val="24"/>
        </w:rPr>
        <w:t xml:space="preserve">of </w:t>
      </w:r>
      <w:r w:rsidR="00B94C4F" w:rsidRPr="003A54AA">
        <w:rPr>
          <w:rFonts w:ascii="Tahoma" w:hAnsi="Tahoma" w:cs="Tahoma"/>
          <w:sz w:val="24"/>
          <w:szCs w:val="24"/>
        </w:rPr>
        <w:t xml:space="preserve"> land</w:t>
      </w:r>
      <w:proofErr w:type="gramEnd"/>
      <w:r w:rsidR="00B94C4F" w:rsidRPr="003A54AA">
        <w:rPr>
          <w:rFonts w:ascii="Tahoma" w:hAnsi="Tahoma" w:cs="Tahoma"/>
          <w:sz w:val="24"/>
          <w:szCs w:val="24"/>
        </w:rPr>
        <w:t xml:space="preserve"> zoned for industry (excluding mixed business zo</w:t>
      </w:r>
      <w:r w:rsidR="00F70621" w:rsidRPr="003A54AA">
        <w:rPr>
          <w:rFonts w:ascii="Tahoma" w:hAnsi="Tahoma" w:cs="Tahoma"/>
          <w:sz w:val="24"/>
          <w:szCs w:val="24"/>
        </w:rPr>
        <w:t>nings</w:t>
      </w:r>
      <w:r w:rsidR="00476025" w:rsidRPr="003A54AA">
        <w:rPr>
          <w:rFonts w:ascii="Tahoma" w:hAnsi="Tahoma" w:cs="Tahoma"/>
          <w:sz w:val="24"/>
          <w:szCs w:val="24"/>
        </w:rPr>
        <w:t xml:space="preserve"> but including the </w:t>
      </w:r>
      <w:proofErr w:type="spellStart"/>
      <w:r w:rsidR="00476025" w:rsidRPr="003A54AA">
        <w:rPr>
          <w:rFonts w:ascii="Tahoma" w:hAnsi="Tahoma" w:cs="Tahoma"/>
          <w:sz w:val="24"/>
          <w:szCs w:val="24"/>
        </w:rPr>
        <w:t>non zoned</w:t>
      </w:r>
      <w:proofErr w:type="spellEnd"/>
      <w:r w:rsidR="00476025" w:rsidRPr="003A54AA">
        <w:rPr>
          <w:rFonts w:ascii="Tahoma" w:hAnsi="Tahoma" w:cs="Tahoma"/>
          <w:sz w:val="24"/>
          <w:szCs w:val="24"/>
        </w:rPr>
        <w:t xml:space="preserve"> Invest NI Industrial Estate in Downpatrick)</w:t>
      </w:r>
      <w:r w:rsidR="00A31962" w:rsidRPr="003A54AA">
        <w:rPr>
          <w:rFonts w:ascii="Tahoma" w:hAnsi="Tahoma" w:cs="Tahoma"/>
          <w:sz w:val="24"/>
          <w:szCs w:val="24"/>
        </w:rPr>
        <w:t xml:space="preserve"> is</w:t>
      </w:r>
      <w:r w:rsidR="005004F1" w:rsidRPr="003A54AA">
        <w:rPr>
          <w:rFonts w:ascii="Tahoma" w:hAnsi="Tahoma" w:cs="Tahoma"/>
          <w:sz w:val="24"/>
          <w:szCs w:val="24"/>
        </w:rPr>
        <w:t xml:space="preserve"> </w:t>
      </w:r>
      <w:r w:rsidR="00A362A9" w:rsidRPr="00E56B07">
        <w:rPr>
          <w:rFonts w:ascii="Tahoma" w:hAnsi="Tahoma" w:cs="Tahoma"/>
          <w:sz w:val="24"/>
          <w:szCs w:val="24"/>
        </w:rPr>
        <w:t>0.46</w:t>
      </w:r>
      <w:r w:rsidR="00F70621" w:rsidRPr="003A54AA">
        <w:rPr>
          <w:rFonts w:ascii="Tahoma" w:hAnsi="Tahoma" w:cs="Tahoma"/>
          <w:sz w:val="24"/>
          <w:szCs w:val="24"/>
        </w:rPr>
        <w:t xml:space="preserve"> </w:t>
      </w:r>
      <w:r w:rsidR="00A31962" w:rsidRPr="003A54AA">
        <w:rPr>
          <w:rFonts w:ascii="Tahoma" w:hAnsi="Tahoma" w:cs="Tahoma"/>
          <w:sz w:val="24"/>
          <w:szCs w:val="24"/>
        </w:rPr>
        <w:t xml:space="preserve">hectare per annum </w:t>
      </w:r>
      <w:r w:rsidR="00B94C4F" w:rsidRPr="003A54AA">
        <w:rPr>
          <w:rFonts w:ascii="Tahoma" w:hAnsi="Tahoma" w:cs="Tahoma"/>
          <w:sz w:val="24"/>
          <w:szCs w:val="24"/>
        </w:rPr>
        <w:t xml:space="preserve">, </w:t>
      </w:r>
      <w:r w:rsidR="00F70621" w:rsidRPr="003A54AA">
        <w:rPr>
          <w:rFonts w:ascii="Tahoma" w:hAnsi="Tahoma" w:cs="Tahoma"/>
          <w:sz w:val="24"/>
          <w:szCs w:val="24"/>
        </w:rPr>
        <w:t>suggesting some</w:t>
      </w:r>
      <w:r w:rsidR="005004F1" w:rsidRPr="003A54AA">
        <w:rPr>
          <w:rFonts w:ascii="Tahoma" w:hAnsi="Tahoma" w:cs="Tahoma"/>
          <w:sz w:val="24"/>
          <w:szCs w:val="24"/>
        </w:rPr>
        <w:t xml:space="preserve"> </w:t>
      </w:r>
      <w:r w:rsidR="00A362A9" w:rsidRPr="00E56B07">
        <w:rPr>
          <w:rFonts w:ascii="Tahoma" w:hAnsi="Tahoma" w:cs="Tahoma"/>
          <w:sz w:val="24"/>
          <w:szCs w:val="24"/>
        </w:rPr>
        <w:t>6.90</w:t>
      </w:r>
      <w:r w:rsidR="00F70621" w:rsidRPr="003A54AA">
        <w:rPr>
          <w:rFonts w:ascii="Tahoma" w:hAnsi="Tahoma" w:cs="Tahoma"/>
          <w:sz w:val="24"/>
          <w:szCs w:val="24"/>
        </w:rPr>
        <w:t xml:space="preserve"> </w:t>
      </w:r>
      <w:r w:rsidR="00B94C4F" w:rsidRPr="003A54AA">
        <w:rPr>
          <w:rFonts w:ascii="Tahoma" w:hAnsi="Tahoma" w:cs="Tahoma"/>
          <w:sz w:val="24"/>
          <w:szCs w:val="24"/>
        </w:rPr>
        <w:t xml:space="preserve"> hectares will be needed up to 2030</w:t>
      </w:r>
      <w:r w:rsidR="00545425" w:rsidRPr="00545425">
        <w:rPr>
          <w:rFonts w:ascii="Tahoma" w:hAnsi="Tahoma" w:cs="Tahoma"/>
          <w:sz w:val="24"/>
          <w:szCs w:val="24"/>
        </w:rPr>
        <w:t>.</w:t>
      </w:r>
      <w:r w:rsidR="00B94C4F" w:rsidRPr="003A54AA">
        <w:rPr>
          <w:rFonts w:ascii="Tahoma" w:hAnsi="Tahoma" w:cs="Tahoma"/>
          <w:color w:val="FF0000"/>
          <w:sz w:val="24"/>
          <w:szCs w:val="24"/>
        </w:rPr>
        <w:t xml:space="preserve"> </w:t>
      </w:r>
      <w:r w:rsidR="00B94C4F" w:rsidRPr="003A54AA">
        <w:rPr>
          <w:rFonts w:ascii="Tahoma" w:hAnsi="Tahoma" w:cs="Tahoma"/>
          <w:sz w:val="24"/>
          <w:szCs w:val="24"/>
        </w:rPr>
        <w:t>Therefore, ove</w:t>
      </w:r>
      <w:r w:rsidR="00F70621" w:rsidRPr="003A54AA">
        <w:rPr>
          <w:rFonts w:ascii="Tahoma" w:hAnsi="Tahoma" w:cs="Tahoma"/>
          <w:sz w:val="24"/>
          <w:szCs w:val="24"/>
        </w:rPr>
        <w:t xml:space="preserve">rall, there may be a need for </w:t>
      </w:r>
      <w:r w:rsidR="00A362A9" w:rsidRPr="00E56B07">
        <w:rPr>
          <w:rFonts w:ascii="Tahoma" w:hAnsi="Tahoma" w:cs="Tahoma"/>
          <w:sz w:val="24"/>
          <w:szCs w:val="24"/>
        </w:rPr>
        <w:t>27.92</w:t>
      </w:r>
      <w:r w:rsidR="001458A1" w:rsidRPr="007E5327">
        <w:rPr>
          <w:rFonts w:ascii="Tahoma" w:hAnsi="Tahoma" w:cs="Tahoma"/>
          <w:sz w:val="24"/>
          <w:szCs w:val="24"/>
        </w:rPr>
        <w:t xml:space="preserve"> </w:t>
      </w:r>
      <w:r w:rsidR="00B94C4F" w:rsidRPr="003A54AA">
        <w:rPr>
          <w:rFonts w:ascii="Tahoma" w:hAnsi="Tahoma" w:cs="Tahoma"/>
          <w:sz w:val="24"/>
          <w:szCs w:val="24"/>
        </w:rPr>
        <w:t>hectares of zoned land based on past take up rates.</w:t>
      </w:r>
    </w:p>
    <w:p w:rsidR="00DF3A97" w:rsidRPr="003A54AA" w:rsidRDefault="00DF3A97" w:rsidP="00B94C4F">
      <w:pPr>
        <w:autoSpaceDE w:val="0"/>
        <w:autoSpaceDN w:val="0"/>
        <w:adjustRightInd w:val="0"/>
        <w:spacing w:after="0" w:line="240" w:lineRule="auto"/>
        <w:rPr>
          <w:rFonts w:ascii="Tahoma" w:hAnsi="Tahoma" w:cs="Tahoma"/>
          <w:color w:val="FF0000"/>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.4 </w:t>
      </w:r>
      <w:r w:rsidR="003F2672">
        <w:rPr>
          <w:rFonts w:ascii="Tahoma" w:hAnsi="Tahoma" w:cs="Tahoma"/>
          <w:b/>
          <w:bCs/>
          <w:sz w:val="24"/>
          <w:szCs w:val="24"/>
        </w:rPr>
        <w:tab/>
      </w:r>
      <w:r w:rsidR="00B94C4F" w:rsidRPr="003A54AA">
        <w:rPr>
          <w:rFonts w:ascii="Tahoma" w:hAnsi="Tahoma" w:cs="Tahoma"/>
          <w:sz w:val="24"/>
          <w:szCs w:val="24"/>
        </w:rPr>
        <w:t>However, in applying such a broad-brush approa</w:t>
      </w:r>
      <w:r w:rsidR="003F2672">
        <w:rPr>
          <w:rFonts w:ascii="Tahoma" w:hAnsi="Tahoma" w:cs="Tahoma"/>
          <w:sz w:val="24"/>
          <w:szCs w:val="24"/>
        </w:rPr>
        <w:t xml:space="preserve">ch, recognition is not given to </w:t>
      </w:r>
      <w:r w:rsidR="00B94C4F" w:rsidRPr="003A54AA">
        <w:rPr>
          <w:rFonts w:ascii="Tahoma" w:hAnsi="Tahoma" w:cs="Tahoma"/>
          <w:sz w:val="24"/>
          <w:szCs w:val="24"/>
        </w:rPr>
        <w:t>the disparities between take up on different land zonings. Our land use</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lastRenderedPageBreak/>
        <w:t>zonings</w:t>
      </w:r>
      <w:proofErr w:type="gramEnd"/>
      <w:r w:rsidRPr="003A54AA">
        <w:rPr>
          <w:rFonts w:ascii="Tahoma" w:hAnsi="Tahoma" w:cs="Tahoma"/>
          <w:sz w:val="24"/>
          <w:szCs w:val="24"/>
        </w:rPr>
        <w:t xml:space="preserve"> comprise of land brought forward by Invest NI and land brought</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forward</w:t>
      </w:r>
      <w:proofErr w:type="gramEnd"/>
      <w:r w:rsidRPr="003A54AA">
        <w:rPr>
          <w:rFonts w:ascii="Tahoma" w:hAnsi="Tahoma" w:cs="Tahoma"/>
          <w:sz w:val="24"/>
          <w:szCs w:val="24"/>
        </w:rPr>
        <w:t xml:space="preserve"> by the private sector. Take up has</w:t>
      </w:r>
      <w:r w:rsidR="00412139" w:rsidRPr="003A54AA">
        <w:rPr>
          <w:rFonts w:ascii="Tahoma" w:hAnsi="Tahoma" w:cs="Tahoma"/>
          <w:sz w:val="24"/>
          <w:szCs w:val="24"/>
        </w:rPr>
        <w:t xml:space="preserve"> tended to be greater on zonings</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where</w:t>
      </w:r>
      <w:proofErr w:type="gramEnd"/>
      <w:r w:rsidRPr="003A54AA">
        <w:rPr>
          <w:rFonts w:ascii="Tahoma" w:hAnsi="Tahoma" w:cs="Tahoma"/>
          <w:sz w:val="24"/>
          <w:szCs w:val="24"/>
        </w:rPr>
        <w:t xml:space="preserve"> Invest NI </w:t>
      </w:r>
      <w:r w:rsidR="00412139" w:rsidRPr="003A54AA">
        <w:rPr>
          <w:rFonts w:ascii="Tahoma" w:hAnsi="Tahoma" w:cs="Tahoma"/>
          <w:sz w:val="24"/>
          <w:szCs w:val="24"/>
        </w:rPr>
        <w:t>(</w:t>
      </w:r>
      <w:proofErr w:type="spellStart"/>
      <w:r w:rsidR="00412139" w:rsidRPr="003A54AA">
        <w:rPr>
          <w:rFonts w:ascii="Tahoma" w:hAnsi="Tahoma" w:cs="Tahoma"/>
          <w:sz w:val="24"/>
          <w:szCs w:val="24"/>
        </w:rPr>
        <w:t>Carnbane</w:t>
      </w:r>
      <w:proofErr w:type="spellEnd"/>
      <w:r w:rsidR="00412139" w:rsidRPr="003A54AA">
        <w:rPr>
          <w:rFonts w:ascii="Tahoma" w:hAnsi="Tahoma" w:cs="Tahoma"/>
          <w:sz w:val="24"/>
          <w:szCs w:val="24"/>
        </w:rPr>
        <w:t>, Newry</w:t>
      </w:r>
      <w:r w:rsidR="00E25796" w:rsidRPr="003A54AA">
        <w:rPr>
          <w:rFonts w:ascii="Tahoma" w:hAnsi="Tahoma" w:cs="Tahoma"/>
          <w:sz w:val="24"/>
          <w:szCs w:val="24"/>
        </w:rPr>
        <w:t xml:space="preserve"> and </w:t>
      </w:r>
      <w:r w:rsidR="00412139" w:rsidRPr="003A54AA">
        <w:rPr>
          <w:rFonts w:ascii="Tahoma" w:hAnsi="Tahoma" w:cs="Tahoma"/>
          <w:sz w:val="24"/>
          <w:szCs w:val="24"/>
        </w:rPr>
        <w:t xml:space="preserve"> Belfast Road, Downpatrick) </w:t>
      </w:r>
      <w:r w:rsidRPr="003A54AA">
        <w:rPr>
          <w:rFonts w:ascii="Tahoma" w:hAnsi="Tahoma" w:cs="Tahoma"/>
          <w:sz w:val="24"/>
          <w:szCs w:val="24"/>
        </w:rPr>
        <w:t>has intervened to provide serviced sites which tend</w:t>
      </w:r>
      <w:r w:rsidR="00412139" w:rsidRPr="003A54AA">
        <w:rPr>
          <w:rFonts w:ascii="Tahoma" w:hAnsi="Tahoma" w:cs="Tahoma"/>
          <w:sz w:val="24"/>
          <w:szCs w:val="24"/>
        </w:rPr>
        <w:t xml:space="preserve"> to be </w:t>
      </w:r>
      <w:r w:rsidRPr="003A54AA">
        <w:rPr>
          <w:rFonts w:ascii="Tahoma" w:hAnsi="Tahoma" w:cs="Tahoma"/>
          <w:sz w:val="24"/>
          <w:szCs w:val="24"/>
        </w:rPr>
        <w:t>more attractive to investors because they ar</w:t>
      </w:r>
      <w:r w:rsidR="00412139" w:rsidRPr="003A54AA">
        <w:rPr>
          <w:rFonts w:ascii="Tahoma" w:hAnsi="Tahoma" w:cs="Tahoma"/>
          <w:sz w:val="24"/>
          <w:szCs w:val="24"/>
        </w:rPr>
        <w:t xml:space="preserve">e closest to the main transport </w:t>
      </w:r>
      <w:r w:rsidRPr="003A54AA">
        <w:rPr>
          <w:rFonts w:ascii="Tahoma" w:hAnsi="Tahoma" w:cs="Tahoma"/>
          <w:sz w:val="24"/>
          <w:szCs w:val="24"/>
        </w:rPr>
        <w:t>corridors. The delivery of sites on privately o</w:t>
      </w:r>
      <w:r w:rsidR="00412139" w:rsidRPr="003A54AA">
        <w:rPr>
          <w:rFonts w:ascii="Tahoma" w:hAnsi="Tahoma" w:cs="Tahoma"/>
          <w:sz w:val="24"/>
          <w:szCs w:val="24"/>
        </w:rPr>
        <w:t xml:space="preserve">wned land is dependent upon the </w:t>
      </w:r>
      <w:r w:rsidRPr="003A54AA">
        <w:rPr>
          <w:rFonts w:ascii="Tahoma" w:hAnsi="Tahoma" w:cs="Tahoma"/>
          <w:sz w:val="24"/>
          <w:szCs w:val="24"/>
        </w:rPr>
        <w:t>landowner’s willingness to sell at a reasonable price.</w:t>
      </w:r>
    </w:p>
    <w:p w:rsidR="00B94C4F" w:rsidRPr="003A54AA" w:rsidRDefault="00B94C4F" w:rsidP="00B94C4F">
      <w:pPr>
        <w:autoSpaceDE w:val="0"/>
        <w:autoSpaceDN w:val="0"/>
        <w:adjustRightInd w:val="0"/>
        <w:spacing w:after="0" w:line="240" w:lineRule="auto"/>
        <w:rPr>
          <w:rFonts w:ascii="Tahoma" w:hAnsi="Tahoma" w:cs="Tahoma"/>
          <w:b/>
          <w:bCs/>
          <w:color w:val="FF0000"/>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.5 </w:t>
      </w:r>
      <w:r w:rsidR="003F2672">
        <w:rPr>
          <w:rFonts w:ascii="Tahoma" w:hAnsi="Tahoma" w:cs="Tahoma"/>
          <w:b/>
          <w:bCs/>
          <w:sz w:val="24"/>
          <w:szCs w:val="24"/>
        </w:rPr>
        <w:tab/>
      </w:r>
      <w:r w:rsidR="00B94C4F" w:rsidRPr="003A54AA">
        <w:rPr>
          <w:rFonts w:ascii="Tahoma" w:hAnsi="Tahoma" w:cs="Tahoma"/>
          <w:sz w:val="24"/>
          <w:szCs w:val="24"/>
        </w:rPr>
        <w:t>Furthermore, with this method of assessment, take up rates can also be</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skewed</w:t>
      </w:r>
      <w:proofErr w:type="gramEnd"/>
      <w:r w:rsidRPr="003A54AA">
        <w:rPr>
          <w:rFonts w:ascii="Tahoma" w:hAnsi="Tahoma" w:cs="Tahoma"/>
          <w:sz w:val="24"/>
          <w:szCs w:val="24"/>
        </w:rPr>
        <w:t xml:space="preserve"> by the development of one single site. It also does not take account of</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land</w:t>
      </w:r>
      <w:proofErr w:type="gramEnd"/>
      <w:r w:rsidRPr="003A54AA">
        <w:rPr>
          <w:rFonts w:ascii="Tahoma" w:hAnsi="Tahoma" w:cs="Tahoma"/>
          <w:sz w:val="24"/>
          <w:szCs w:val="24"/>
        </w:rPr>
        <w:t xml:space="preserve"> developed for employment/industry on </w:t>
      </w:r>
      <w:proofErr w:type="spellStart"/>
      <w:r w:rsidRPr="003A54AA">
        <w:rPr>
          <w:rFonts w:ascii="Tahoma" w:hAnsi="Tahoma" w:cs="Tahoma"/>
          <w:sz w:val="24"/>
          <w:szCs w:val="24"/>
        </w:rPr>
        <w:t>unzoned</w:t>
      </w:r>
      <w:proofErr w:type="spellEnd"/>
      <w:r w:rsidR="00FF10E5" w:rsidRPr="003A54AA">
        <w:rPr>
          <w:rStyle w:val="FootnoteReference"/>
          <w:rFonts w:ascii="Tahoma" w:hAnsi="Tahoma" w:cs="Tahoma"/>
          <w:sz w:val="24"/>
          <w:szCs w:val="24"/>
        </w:rPr>
        <w:footnoteReference w:id="29"/>
      </w:r>
      <w:r w:rsidRPr="003A54AA">
        <w:rPr>
          <w:rFonts w:ascii="Tahoma" w:hAnsi="Tahoma" w:cs="Tahoma"/>
          <w:sz w:val="24"/>
          <w:szCs w:val="24"/>
        </w:rPr>
        <w:t xml:space="preserve"> land and does not allow</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for</w:t>
      </w:r>
      <w:proofErr w:type="gramEnd"/>
      <w:r w:rsidRPr="003A54AA">
        <w:rPr>
          <w:rFonts w:ascii="Tahoma" w:hAnsi="Tahoma" w:cs="Tahoma"/>
          <w:sz w:val="24"/>
          <w:szCs w:val="24"/>
        </w:rPr>
        <w:t xml:space="preserve"> changes in take up rates as a result of changing economic conditions,</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technology</w:t>
      </w:r>
      <w:proofErr w:type="gramEnd"/>
      <w:r w:rsidRPr="003A54AA">
        <w:rPr>
          <w:rFonts w:ascii="Tahoma" w:hAnsi="Tahoma" w:cs="Tahoma"/>
          <w:sz w:val="24"/>
          <w:szCs w:val="24"/>
        </w:rPr>
        <w:t xml:space="preserve"> and communication, for example the loss of jobs within any of the</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established</w:t>
      </w:r>
      <w:proofErr w:type="gramEnd"/>
      <w:r w:rsidRPr="003A54AA">
        <w:rPr>
          <w:rFonts w:ascii="Tahoma" w:hAnsi="Tahoma" w:cs="Tahoma"/>
          <w:sz w:val="24"/>
          <w:szCs w:val="24"/>
        </w:rPr>
        <w:t xml:space="preserve"> businesses would impact on figures.</w:t>
      </w:r>
    </w:p>
    <w:p w:rsidR="00D32E37" w:rsidRDefault="00D32E37" w:rsidP="00B94C4F">
      <w:pPr>
        <w:autoSpaceDE w:val="0"/>
        <w:autoSpaceDN w:val="0"/>
        <w:adjustRightInd w:val="0"/>
        <w:spacing w:after="0" w:line="240" w:lineRule="auto"/>
        <w:rPr>
          <w:rFonts w:ascii="Arial" w:hAnsi="Arial" w:cs="Arial"/>
          <w:sz w:val="24"/>
          <w:szCs w:val="24"/>
        </w:rPr>
      </w:pPr>
    </w:p>
    <w:p w:rsidR="00B94C4F" w:rsidRPr="003A54AA" w:rsidRDefault="00464E2C" w:rsidP="00B94C4F">
      <w:pPr>
        <w:autoSpaceDE w:val="0"/>
        <w:autoSpaceDN w:val="0"/>
        <w:adjustRightInd w:val="0"/>
        <w:spacing w:after="0" w:line="240" w:lineRule="auto"/>
        <w:rPr>
          <w:rFonts w:ascii="Tahoma" w:hAnsi="Tahoma" w:cs="Tahoma"/>
          <w:i/>
          <w:iCs/>
          <w:sz w:val="24"/>
          <w:szCs w:val="24"/>
        </w:rPr>
      </w:pPr>
      <w:r w:rsidRPr="003A54AA">
        <w:rPr>
          <w:rFonts w:ascii="Tahoma" w:hAnsi="Tahoma" w:cs="Tahoma"/>
          <w:i/>
          <w:iCs/>
          <w:sz w:val="24"/>
          <w:szCs w:val="24"/>
        </w:rPr>
        <w:t>(</w:t>
      </w:r>
      <w:proofErr w:type="gramStart"/>
      <w:r w:rsidRPr="003A54AA">
        <w:rPr>
          <w:rFonts w:ascii="Tahoma" w:hAnsi="Tahoma" w:cs="Tahoma"/>
          <w:i/>
          <w:iCs/>
          <w:sz w:val="24"/>
          <w:szCs w:val="24"/>
        </w:rPr>
        <w:t>b</w:t>
      </w:r>
      <w:proofErr w:type="gramEnd"/>
      <w:r w:rsidRPr="003A54AA">
        <w:rPr>
          <w:rFonts w:ascii="Tahoma" w:hAnsi="Tahoma" w:cs="Tahoma"/>
          <w:i/>
          <w:iCs/>
          <w:sz w:val="24"/>
          <w:szCs w:val="24"/>
        </w:rPr>
        <w:t>) Method</w:t>
      </w:r>
      <w:r w:rsidR="00B94C4F" w:rsidRPr="003A54AA">
        <w:rPr>
          <w:rFonts w:ascii="Tahoma" w:hAnsi="Tahoma" w:cs="Tahoma"/>
          <w:i/>
          <w:iCs/>
          <w:sz w:val="24"/>
          <w:szCs w:val="24"/>
        </w:rPr>
        <w:t xml:space="preserve"> 2</w:t>
      </w:r>
      <w:r w:rsidRPr="003A54AA">
        <w:rPr>
          <w:rFonts w:ascii="Tahoma" w:hAnsi="Tahoma" w:cs="Tahoma"/>
          <w:i/>
          <w:iCs/>
          <w:sz w:val="24"/>
          <w:szCs w:val="24"/>
        </w:rPr>
        <w:t xml:space="preserve"> – based on population growth and unemployment</w:t>
      </w:r>
    </w:p>
    <w:p w:rsidR="00D32E37" w:rsidRPr="003A54AA" w:rsidRDefault="00D32E37" w:rsidP="00B94C4F">
      <w:pPr>
        <w:autoSpaceDE w:val="0"/>
        <w:autoSpaceDN w:val="0"/>
        <w:adjustRightInd w:val="0"/>
        <w:spacing w:after="0" w:line="240" w:lineRule="auto"/>
        <w:rPr>
          <w:rFonts w:ascii="Tahoma" w:hAnsi="Tahoma" w:cs="Tahoma"/>
          <w:i/>
          <w:iCs/>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.6 </w:t>
      </w:r>
      <w:r w:rsidR="003F2672">
        <w:rPr>
          <w:rFonts w:ascii="Tahoma" w:hAnsi="Tahoma" w:cs="Tahoma"/>
          <w:b/>
          <w:bCs/>
          <w:sz w:val="24"/>
          <w:szCs w:val="24"/>
        </w:rPr>
        <w:tab/>
      </w:r>
      <w:r w:rsidR="00B94C4F" w:rsidRPr="003A54AA">
        <w:rPr>
          <w:rFonts w:ascii="Tahoma" w:hAnsi="Tahoma" w:cs="Tahoma"/>
          <w:sz w:val="24"/>
          <w:szCs w:val="24"/>
        </w:rPr>
        <w:t>To estimate the number of jobs required (which can later be translated into</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land</w:t>
      </w:r>
      <w:proofErr w:type="gramEnd"/>
      <w:r w:rsidRPr="003A54AA">
        <w:rPr>
          <w:rFonts w:ascii="Tahoma" w:hAnsi="Tahoma" w:cs="Tahoma"/>
          <w:sz w:val="24"/>
          <w:szCs w:val="24"/>
        </w:rPr>
        <w:t xml:space="preserve"> requirements), a methodology has been used based on economic activity, unemployment rates and the latest (2012-based) population projections from NISRA</w:t>
      </w:r>
      <w:r w:rsidR="00F207BE" w:rsidRPr="003A54AA">
        <w:rPr>
          <w:rStyle w:val="FootnoteReference"/>
          <w:rFonts w:ascii="Tahoma" w:hAnsi="Tahoma" w:cs="Tahoma"/>
          <w:sz w:val="24"/>
          <w:szCs w:val="24"/>
        </w:rPr>
        <w:footnoteReference w:id="30"/>
      </w:r>
      <w:r w:rsidRPr="003A54AA">
        <w:rPr>
          <w:rFonts w:ascii="Tahoma" w:hAnsi="Tahoma" w:cs="Tahoma"/>
          <w:sz w:val="24"/>
          <w:szCs w:val="24"/>
        </w:rPr>
        <w:t xml:space="preserve">. By applying NISRA population projections, it is possible to estimate the number of people who will be economically active in 2030. The economic activity rates </w:t>
      </w:r>
      <w:proofErr w:type="spellStart"/>
      <w:r w:rsidRPr="003A54AA">
        <w:rPr>
          <w:rFonts w:ascii="Tahoma" w:hAnsi="Tahoma" w:cs="Tahoma"/>
          <w:sz w:val="24"/>
          <w:szCs w:val="24"/>
        </w:rPr>
        <w:t>etc</w:t>
      </w:r>
      <w:proofErr w:type="spellEnd"/>
      <w:r w:rsidRPr="003A54AA">
        <w:rPr>
          <w:rFonts w:ascii="Tahoma" w:hAnsi="Tahoma" w:cs="Tahoma"/>
          <w:sz w:val="24"/>
          <w:szCs w:val="24"/>
        </w:rPr>
        <w:t xml:space="preserve"> for each </w:t>
      </w:r>
      <w:r w:rsidR="00E25796" w:rsidRPr="003A54AA">
        <w:rPr>
          <w:rFonts w:ascii="Tahoma" w:hAnsi="Tahoma" w:cs="Tahoma"/>
          <w:sz w:val="24"/>
          <w:szCs w:val="24"/>
        </w:rPr>
        <w:t>former</w:t>
      </w:r>
      <w:r w:rsidRPr="003A54AA">
        <w:rPr>
          <w:rFonts w:ascii="Tahoma" w:hAnsi="Tahoma" w:cs="Tahoma"/>
          <w:sz w:val="24"/>
          <w:szCs w:val="24"/>
        </w:rPr>
        <w:t xml:space="preserve"> district in 2011 have been added together and averaged to give a figure for the new Council</w:t>
      </w:r>
      <w:r w:rsidR="0059546E" w:rsidRPr="003A54AA">
        <w:rPr>
          <w:rFonts w:ascii="Tahoma" w:hAnsi="Tahoma" w:cs="Tahoma"/>
          <w:sz w:val="24"/>
          <w:szCs w:val="24"/>
        </w:rPr>
        <w:t xml:space="preserve"> area. An unemployment rate of 4</w:t>
      </w:r>
      <w:r w:rsidRPr="003A54AA">
        <w:rPr>
          <w:rFonts w:ascii="Tahoma" w:hAnsi="Tahoma" w:cs="Tahoma"/>
          <w:sz w:val="24"/>
          <w:szCs w:val="24"/>
        </w:rPr>
        <w:t>% has also been assumed</w:t>
      </w:r>
      <w:r w:rsidR="0059546E" w:rsidRPr="003A54AA">
        <w:rPr>
          <w:rFonts w:ascii="Tahoma" w:hAnsi="Tahoma" w:cs="Tahoma"/>
          <w:sz w:val="24"/>
          <w:szCs w:val="24"/>
        </w:rPr>
        <w:t xml:space="preserve"> based on the average claimant count for NMD over the period 2001- 2014 (see table 5).</w:t>
      </w:r>
    </w:p>
    <w:p w:rsidR="00B94C4F" w:rsidRPr="003A54AA" w:rsidRDefault="00B94C4F" w:rsidP="00B94C4F">
      <w:pPr>
        <w:autoSpaceDE w:val="0"/>
        <w:autoSpaceDN w:val="0"/>
        <w:adjustRightInd w:val="0"/>
        <w:spacing w:after="0" w:line="240" w:lineRule="auto"/>
        <w:rPr>
          <w:rFonts w:ascii="Tahoma" w:hAnsi="Tahoma" w:cs="Tahoma"/>
          <w:b/>
          <w:bCs/>
          <w:color w:val="FF0000"/>
          <w:sz w:val="24"/>
          <w:szCs w:val="24"/>
        </w:rPr>
      </w:pPr>
    </w:p>
    <w:p w:rsidR="00B94C4F" w:rsidRPr="003A54AA" w:rsidRDefault="00313304" w:rsidP="00B94C4F">
      <w:pPr>
        <w:autoSpaceDE w:val="0"/>
        <w:autoSpaceDN w:val="0"/>
        <w:adjustRightInd w:val="0"/>
        <w:spacing w:after="0" w:line="240" w:lineRule="auto"/>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.7 </w:t>
      </w:r>
      <w:r w:rsidR="003F2672">
        <w:rPr>
          <w:rFonts w:ascii="Tahoma" w:hAnsi="Tahoma" w:cs="Tahoma"/>
          <w:b/>
          <w:bCs/>
          <w:sz w:val="24"/>
          <w:szCs w:val="24"/>
        </w:rPr>
        <w:tab/>
      </w:r>
      <w:r w:rsidR="00B94C4F" w:rsidRPr="003A54AA">
        <w:rPr>
          <w:rFonts w:ascii="Tahoma" w:hAnsi="Tahoma" w:cs="Tahoma"/>
          <w:sz w:val="24"/>
          <w:szCs w:val="24"/>
        </w:rPr>
        <w:t>Thus the following economic activity rates from the Census 2011 have been</w:t>
      </w:r>
    </w:p>
    <w:p w:rsidR="00B94C4F" w:rsidRPr="003A54AA" w:rsidRDefault="00B94C4F" w:rsidP="00B94C4F">
      <w:pPr>
        <w:autoSpaceDE w:val="0"/>
        <w:autoSpaceDN w:val="0"/>
        <w:adjustRightInd w:val="0"/>
        <w:spacing w:after="0" w:line="240" w:lineRule="auto"/>
        <w:rPr>
          <w:rFonts w:ascii="Tahoma" w:hAnsi="Tahoma" w:cs="Tahoma"/>
          <w:sz w:val="24"/>
          <w:szCs w:val="24"/>
        </w:rPr>
      </w:pPr>
      <w:proofErr w:type="gramStart"/>
      <w:r w:rsidRPr="003A54AA">
        <w:rPr>
          <w:rFonts w:ascii="Tahoma" w:hAnsi="Tahoma" w:cs="Tahoma"/>
          <w:sz w:val="24"/>
          <w:szCs w:val="24"/>
        </w:rPr>
        <w:t>used</w:t>
      </w:r>
      <w:proofErr w:type="gramEnd"/>
      <w:r w:rsidRPr="003A54AA">
        <w:rPr>
          <w:rFonts w:ascii="Tahoma" w:hAnsi="Tahoma" w:cs="Tahoma"/>
          <w:sz w:val="24"/>
          <w:szCs w:val="24"/>
        </w:rPr>
        <w:t>:</w:t>
      </w:r>
    </w:p>
    <w:p w:rsidR="00B94C4F" w:rsidRPr="003A54AA" w:rsidRDefault="000E338F" w:rsidP="00EE41A0">
      <w:pPr>
        <w:pStyle w:val="ListParagraph"/>
        <w:numPr>
          <w:ilvl w:val="0"/>
          <w:numId w:val="7"/>
        </w:numPr>
        <w:autoSpaceDE w:val="0"/>
        <w:autoSpaceDN w:val="0"/>
        <w:adjustRightInd w:val="0"/>
        <w:spacing w:after="0" w:line="240" w:lineRule="auto"/>
        <w:rPr>
          <w:rFonts w:ascii="Tahoma" w:hAnsi="Tahoma" w:cs="Tahoma"/>
          <w:sz w:val="24"/>
          <w:szCs w:val="24"/>
        </w:rPr>
      </w:pPr>
      <w:r w:rsidRPr="003A54AA">
        <w:rPr>
          <w:rFonts w:ascii="Tahoma" w:hAnsi="Tahoma" w:cs="Tahoma"/>
          <w:sz w:val="24"/>
          <w:szCs w:val="24"/>
        </w:rPr>
        <w:t xml:space="preserve">Newry &amp; </w:t>
      </w:r>
      <w:proofErr w:type="spellStart"/>
      <w:r w:rsidRPr="003A54AA">
        <w:rPr>
          <w:rFonts w:ascii="Tahoma" w:hAnsi="Tahoma" w:cs="Tahoma"/>
          <w:sz w:val="24"/>
          <w:szCs w:val="24"/>
        </w:rPr>
        <w:t>Mourne</w:t>
      </w:r>
      <w:proofErr w:type="spellEnd"/>
      <w:r w:rsidRPr="003A54AA">
        <w:rPr>
          <w:rFonts w:ascii="Tahoma" w:hAnsi="Tahoma" w:cs="Tahoma"/>
          <w:sz w:val="24"/>
          <w:szCs w:val="24"/>
        </w:rPr>
        <w:t xml:space="preserve"> = 65.49</w:t>
      </w:r>
      <w:r w:rsidR="00B94C4F" w:rsidRPr="003A54AA">
        <w:rPr>
          <w:rFonts w:ascii="Tahoma" w:hAnsi="Tahoma" w:cs="Tahoma"/>
          <w:sz w:val="24"/>
          <w:szCs w:val="24"/>
        </w:rPr>
        <w:t>%</w:t>
      </w:r>
    </w:p>
    <w:p w:rsidR="00B94C4F" w:rsidRPr="003A54AA" w:rsidRDefault="000E338F" w:rsidP="00EE41A0">
      <w:pPr>
        <w:pStyle w:val="ListParagraph"/>
        <w:numPr>
          <w:ilvl w:val="0"/>
          <w:numId w:val="7"/>
        </w:numPr>
        <w:autoSpaceDE w:val="0"/>
        <w:autoSpaceDN w:val="0"/>
        <w:adjustRightInd w:val="0"/>
        <w:spacing w:after="0" w:line="240" w:lineRule="auto"/>
        <w:rPr>
          <w:rFonts w:ascii="Tahoma" w:hAnsi="Tahoma" w:cs="Tahoma"/>
          <w:sz w:val="24"/>
          <w:szCs w:val="24"/>
        </w:rPr>
      </w:pPr>
      <w:r w:rsidRPr="003A54AA">
        <w:rPr>
          <w:rFonts w:ascii="Tahoma" w:hAnsi="Tahoma" w:cs="Tahoma"/>
          <w:sz w:val="24"/>
          <w:szCs w:val="24"/>
        </w:rPr>
        <w:t>Down = 67.12</w:t>
      </w:r>
      <w:r w:rsidR="00B94C4F" w:rsidRPr="003A54AA">
        <w:rPr>
          <w:rFonts w:ascii="Tahoma" w:hAnsi="Tahoma" w:cs="Tahoma"/>
          <w:sz w:val="24"/>
          <w:szCs w:val="24"/>
        </w:rPr>
        <w:t>%</w:t>
      </w:r>
    </w:p>
    <w:p w:rsidR="00B94C4F" w:rsidRPr="003A54AA" w:rsidRDefault="000E338F" w:rsidP="00EE41A0">
      <w:pPr>
        <w:pStyle w:val="ListParagraph"/>
        <w:numPr>
          <w:ilvl w:val="0"/>
          <w:numId w:val="7"/>
        </w:numPr>
        <w:autoSpaceDE w:val="0"/>
        <w:autoSpaceDN w:val="0"/>
        <w:adjustRightInd w:val="0"/>
        <w:spacing w:after="0" w:line="240" w:lineRule="auto"/>
        <w:rPr>
          <w:rFonts w:ascii="Tahoma" w:hAnsi="Tahoma" w:cs="Tahoma"/>
          <w:sz w:val="24"/>
          <w:szCs w:val="24"/>
        </w:rPr>
      </w:pPr>
      <w:r w:rsidRPr="003A54AA">
        <w:rPr>
          <w:rFonts w:ascii="Tahoma" w:hAnsi="Tahoma" w:cs="Tahoma"/>
          <w:sz w:val="24"/>
          <w:szCs w:val="24"/>
        </w:rPr>
        <w:t xml:space="preserve">Newry, </w:t>
      </w:r>
      <w:proofErr w:type="spellStart"/>
      <w:r w:rsidRPr="003A54AA">
        <w:rPr>
          <w:rFonts w:ascii="Tahoma" w:hAnsi="Tahoma" w:cs="Tahoma"/>
          <w:sz w:val="24"/>
          <w:szCs w:val="24"/>
        </w:rPr>
        <w:t>Mourne</w:t>
      </w:r>
      <w:proofErr w:type="spellEnd"/>
      <w:r w:rsidRPr="003A54AA">
        <w:rPr>
          <w:rFonts w:ascii="Tahoma" w:hAnsi="Tahoma" w:cs="Tahoma"/>
          <w:sz w:val="24"/>
          <w:szCs w:val="24"/>
        </w:rPr>
        <w:t xml:space="preserve"> and Down = 66.30</w:t>
      </w:r>
      <w:r w:rsidR="00B94C4F" w:rsidRPr="003A54AA">
        <w:rPr>
          <w:rFonts w:ascii="Tahoma" w:hAnsi="Tahoma" w:cs="Tahoma"/>
          <w:sz w:val="24"/>
          <w:szCs w:val="24"/>
        </w:rPr>
        <w:t xml:space="preserve">% (rounded to </w:t>
      </w:r>
      <w:r w:rsidR="00B94C4F" w:rsidRPr="003A54AA">
        <w:rPr>
          <w:rFonts w:ascii="Tahoma" w:hAnsi="Tahoma" w:cs="Tahoma"/>
          <w:b/>
          <w:bCs/>
          <w:sz w:val="24"/>
          <w:szCs w:val="24"/>
        </w:rPr>
        <w:t>66%</w:t>
      </w:r>
      <w:r w:rsidR="00B94C4F" w:rsidRPr="003A54AA">
        <w:rPr>
          <w:rFonts w:ascii="Tahoma" w:hAnsi="Tahoma" w:cs="Tahoma"/>
          <w:sz w:val="24"/>
          <w:szCs w:val="24"/>
        </w:rPr>
        <w:t>)</w:t>
      </w:r>
    </w:p>
    <w:p w:rsidR="00EE41A0" w:rsidRPr="003A54AA" w:rsidRDefault="00EE41A0" w:rsidP="00B94C4F">
      <w:pPr>
        <w:autoSpaceDE w:val="0"/>
        <w:autoSpaceDN w:val="0"/>
        <w:adjustRightInd w:val="0"/>
        <w:spacing w:after="0" w:line="240" w:lineRule="auto"/>
        <w:rPr>
          <w:rFonts w:ascii="Tahoma" w:hAnsi="Tahoma" w:cs="Tahoma"/>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.8 </w:t>
      </w:r>
      <w:r w:rsidR="003F2672">
        <w:rPr>
          <w:rFonts w:ascii="Tahoma" w:hAnsi="Tahoma" w:cs="Tahoma"/>
          <w:b/>
          <w:bCs/>
          <w:sz w:val="24"/>
          <w:szCs w:val="24"/>
        </w:rPr>
        <w:tab/>
      </w:r>
      <w:r w:rsidR="00B94C4F" w:rsidRPr="003A54AA">
        <w:rPr>
          <w:rFonts w:ascii="Tahoma" w:hAnsi="Tahoma" w:cs="Tahoma"/>
          <w:sz w:val="24"/>
          <w:szCs w:val="24"/>
        </w:rPr>
        <w:t>A figure for the working age population has been estimated using the p</w:t>
      </w:r>
      <w:r w:rsidR="00B7699B" w:rsidRPr="003A54AA">
        <w:rPr>
          <w:rFonts w:ascii="Tahoma" w:hAnsi="Tahoma" w:cs="Tahoma"/>
          <w:sz w:val="24"/>
          <w:szCs w:val="24"/>
        </w:rPr>
        <w:t xml:space="preserve">roportion of the Newry, </w:t>
      </w:r>
      <w:proofErr w:type="spellStart"/>
      <w:r w:rsidR="00B7699B" w:rsidRPr="003A54AA">
        <w:rPr>
          <w:rFonts w:ascii="Tahoma" w:hAnsi="Tahoma" w:cs="Tahoma"/>
          <w:sz w:val="24"/>
          <w:szCs w:val="24"/>
        </w:rPr>
        <w:t>Mourne</w:t>
      </w:r>
      <w:proofErr w:type="spellEnd"/>
      <w:r w:rsidR="00B7699B" w:rsidRPr="003A54AA">
        <w:rPr>
          <w:rFonts w:ascii="Tahoma" w:hAnsi="Tahoma" w:cs="Tahoma"/>
          <w:sz w:val="24"/>
          <w:szCs w:val="24"/>
        </w:rPr>
        <w:t xml:space="preserve"> and Down</w:t>
      </w:r>
      <w:r w:rsidR="00B94C4F" w:rsidRPr="003A54AA">
        <w:rPr>
          <w:rFonts w:ascii="Tahoma" w:hAnsi="Tahoma" w:cs="Tahoma"/>
          <w:sz w:val="24"/>
          <w:szCs w:val="24"/>
        </w:rPr>
        <w:t xml:space="preserve"> population aged 16-74 in 2011 </w:t>
      </w:r>
      <w:r w:rsidR="00B7699B" w:rsidRPr="003A54AA">
        <w:rPr>
          <w:rFonts w:ascii="Tahoma" w:hAnsi="Tahoma" w:cs="Tahoma"/>
          <w:sz w:val="24"/>
          <w:szCs w:val="24"/>
        </w:rPr>
        <w:t>i.e. 7</w:t>
      </w:r>
      <w:r w:rsidR="00823E9E" w:rsidRPr="003A54AA">
        <w:rPr>
          <w:rFonts w:ascii="Tahoma" w:hAnsi="Tahoma" w:cs="Tahoma"/>
          <w:sz w:val="24"/>
          <w:szCs w:val="24"/>
        </w:rPr>
        <w:t>1</w:t>
      </w:r>
      <w:r w:rsidR="00B7699B" w:rsidRPr="003A54AA">
        <w:rPr>
          <w:rFonts w:ascii="Tahoma" w:hAnsi="Tahoma" w:cs="Tahoma"/>
          <w:sz w:val="24"/>
          <w:szCs w:val="24"/>
        </w:rPr>
        <w:t>.</w:t>
      </w:r>
      <w:r w:rsidR="00823E9E" w:rsidRPr="003A54AA">
        <w:rPr>
          <w:rFonts w:ascii="Tahoma" w:hAnsi="Tahoma" w:cs="Tahoma"/>
          <w:sz w:val="24"/>
          <w:szCs w:val="24"/>
        </w:rPr>
        <w:t>32</w:t>
      </w:r>
      <w:r w:rsidR="00B7699B" w:rsidRPr="003A54AA">
        <w:rPr>
          <w:rFonts w:ascii="Tahoma" w:hAnsi="Tahoma" w:cs="Tahoma"/>
          <w:sz w:val="24"/>
          <w:szCs w:val="24"/>
        </w:rPr>
        <w:t>% (rounded to 7</w:t>
      </w:r>
      <w:r w:rsidR="00E312B3" w:rsidRPr="003A54AA">
        <w:rPr>
          <w:rFonts w:ascii="Tahoma" w:hAnsi="Tahoma" w:cs="Tahoma"/>
          <w:sz w:val="24"/>
          <w:szCs w:val="24"/>
        </w:rPr>
        <w:t>1</w:t>
      </w:r>
      <w:r w:rsidR="00B94C4F" w:rsidRPr="003A54AA">
        <w:rPr>
          <w:rFonts w:ascii="Tahoma" w:hAnsi="Tahoma" w:cs="Tahoma"/>
          <w:sz w:val="24"/>
          <w:szCs w:val="24"/>
        </w:rPr>
        <w:t>%). This is then applied to the population estimates derived from NISRA. A number in employment can therefore be estimated for 2015 and 2030 by applying the economic activity rate of 6</w:t>
      </w:r>
      <w:r w:rsidR="0059546E" w:rsidRPr="003A54AA">
        <w:rPr>
          <w:rFonts w:ascii="Tahoma" w:hAnsi="Tahoma" w:cs="Tahoma"/>
          <w:sz w:val="24"/>
          <w:szCs w:val="24"/>
        </w:rPr>
        <w:t>6% and an unemployment rate of 4</w:t>
      </w:r>
      <w:r w:rsidR="00B94C4F" w:rsidRPr="003A54AA">
        <w:rPr>
          <w:rFonts w:ascii="Tahoma" w:hAnsi="Tahoma" w:cs="Tahoma"/>
          <w:sz w:val="24"/>
          <w:szCs w:val="24"/>
        </w:rPr>
        <w:t>% (</w:t>
      </w:r>
      <w:r w:rsidR="00BF35E0" w:rsidRPr="003A54AA">
        <w:rPr>
          <w:rFonts w:ascii="Tahoma" w:hAnsi="Tahoma" w:cs="Tahoma"/>
          <w:sz w:val="24"/>
          <w:szCs w:val="24"/>
        </w:rPr>
        <w:t xml:space="preserve">see </w:t>
      </w:r>
      <w:r w:rsidR="00B94C4F" w:rsidRPr="003A54AA">
        <w:rPr>
          <w:rFonts w:ascii="Tahoma" w:hAnsi="Tahoma" w:cs="Tahoma"/>
          <w:sz w:val="24"/>
          <w:szCs w:val="24"/>
        </w:rPr>
        <w:t xml:space="preserve">Table </w:t>
      </w:r>
      <w:r w:rsidR="00E312B3" w:rsidRPr="003A54AA">
        <w:rPr>
          <w:rFonts w:ascii="Tahoma" w:hAnsi="Tahoma" w:cs="Tahoma"/>
          <w:sz w:val="24"/>
          <w:szCs w:val="24"/>
        </w:rPr>
        <w:t>8</w:t>
      </w:r>
      <w:r w:rsidR="00BF35E0" w:rsidRPr="003A54AA">
        <w:rPr>
          <w:rFonts w:ascii="Tahoma" w:hAnsi="Tahoma" w:cs="Tahoma"/>
          <w:sz w:val="24"/>
          <w:szCs w:val="24"/>
        </w:rPr>
        <w:t xml:space="preserve"> below</w:t>
      </w:r>
      <w:r w:rsidR="00B94C4F" w:rsidRPr="003A54AA">
        <w:rPr>
          <w:rFonts w:ascii="Tahoma" w:hAnsi="Tahoma" w:cs="Tahoma"/>
          <w:sz w:val="24"/>
          <w:szCs w:val="24"/>
        </w:rPr>
        <w:t>).</w:t>
      </w:r>
    </w:p>
    <w:p w:rsidR="00BF35E0" w:rsidRDefault="00BF35E0" w:rsidP="00185000">
      <w:pPr>
        <w:autoSpaceDE w:val="0"/>
        <w:autoSpaceDN w:val="0"/>
        <w:adjustRightInd w:val="0"/>
        <w:spacing w:after="0" w:line="240" w:lineRule="auto"/>
        <w:jc w:val="both"/>
        <w:rPr>
          <w:rFonts w:ascii="Arial" w:hAnsi="Arial" w:cs="Arial"/>
          <w:sz w:val="24"/>
          <w:szCs w:val="24"/>
        </w:rPr>
      </w:pPr>
    </w:p>
    <w:p w:rsidR="00E26789" w:rsidRDefault="00E26789" w:rsidP="00BF35E0">
      <w:pPr>
        <w:autoSpaceDE w:val="0"/>
        <w:autoSpaceDN w:val="0"/>
        <w:adjustRightInd w:val="0"/>
        <w:spacing w:after="0" w:line="240" w:lineRule="auto"/>
        <w:rPr>
          <w:rFonts w:ascii="Arial" w:hAnsi="Arial" w:cs="Arial"/>
          <w:b/>
          <w:bCs/>
          <w:sz w:val="24"/>
          <w:szCs w:val="24"/>
        </w:rPr>
      </w:pPr>
    </w:p>
    <w:p w:rsidR="00C4706C" w:rsidRDefault="00C4706C" w:rsidP="00BF35E0">
      <w:pPr>
        <w:autoSpaceDE w:val="0"/>
        <w:autoSpaceDN w:val="0"/>
        <w:adjustRightInd w:val="0"/>
        <w:spacing w:after="0" w:line="240" w:lineRule="auto"/>
        <w:rPr>
          <w:rFonts w:ascii="Arial" w:hAnsi="Arial" w:cs="Arial"/>
          <w:b/>
          <w:bCs/>
          <w:sz w:val="24"/>
          <w:szCs w:val="24"/>
        </w:rPr>
      </w:pPr>
    </w:p>
    <w:p w:rsidR="00C4706C" w:rsidRDefault="00C4706C" w:rsidP="00BF35E0">
      <w:pPr>
        <w:autoSpaceDE w:val="0"/>
        <w:autoSpaceDN w:val="0"/>
        <w:adjustRightInd w:val="0"/>
        <w:spacing w:after="0" w:line="240" w:lineRule="auto"/>
        <w:rPr>
          <w:rFonts w:ascii="Arial" w:hAnsi="Arial" w:cs="Arial"/>
          <w:b/>
          <w:bCs/>
          <w:sz w:val="24"/>
          <w:szCs w:val="24"/>
        </w:rPr>
      </w:pPr>
    </w:p>
    <w:p w:rsidR="00185000" w:rsidRDefault="00185000" w:rsidP="00BF35E0">
      <w:pPr>
        <w:autoSpaceDE w:val="0"/>
        <w:autoSpaceDN w:val="0"/>
        <w:adjustRightInd w:val="0"/>
        <w:spacing w:after="0" w:line="240" w:lineRule="auto"/>
        <w:rPr>
          <w:rFonts w:ascii="Arial" w:hAnsi="Arial" w:cs="Arial"/>
          <w:b/>
          <w:bCs/>
          <w:sz w:val="24"/>
          <w:szCs w:val="24"/>
        </w:rPr>
      </w:pPr>
    </w:p>
    <w:p w:rsidR="00CA7DAA" w:rsidRDefault="00CA7DAA" w:rsidP="00BF35E0">
      <w:pPr>
        <w:autoSpaceDE w:val="0"/>
        <w:autoSpaceDN w:val="0"/>
        <w:adjustRightInd w:val="0"/>
        <w:spacing w:after="0" w:line="240" w:lineRule="auto"/>
        <w:rPr>
          <w:rFonts w:ascii="Arial" w:hAnsi="Arial" w:cs="Arial"/>
          <w:b/>
          <w:bCs/>
          <w:sz w:val="24"/>
          <w:szCs w:val="24"/>
        </w:rPr>
      </w:pPr>
    </w:p>
    <w:p w:rsidR="00CA7DAA" w:rsidRDefault="00CA7DAA" w:rsidP="00BF35E0">
      <w:pPr>
        <w:autoSpaceDE w:val="0"/>
        <w:autoSpaceDN w:val="0"/>
        <w:adjustRightInd w:val="0"/>
        <w:spacing w:after="0" w:line="240" w:lineRule="auto"/>
        <w:rPr>
          <w:rFonts w:ascii="Arial" w:hAnsi="Arial" w:cs="Arial"/>
          <w:b/>
          <w:bCs/>
          <w:sz w:val="24"/>
          <w:szCs w:val="24"/>
        </w:rPr>
      </w:pPr>
    </w:p>
    <w:p w:rsidR="00BF35E0" w:rsidRPr="003A54AA" w:rsidRDefault="00BF35E0" w:rsidP="00BF35E0">
      <w:pPr>
        <w:autoSpaceDE w:val="0"/>
        <w:autoSpaceDN w:val="0"/>
        <w:adjustRightInd w:val="0"/>
        <w:spacing w:after="0" w:line="240" w:lineRule="auto"/>
        <w:rPr>
          <w:rFonts w:ascii="Tahoma" w:hAnsi="Tahoma" w:cs="Tahoma"/>
          <w:b/>
          <w:bCs/>
          <w:sz w:val="24"/>
          <w:szCs w:val="24"/>
        </w:rPr>
      </w:pPr>
      <w:r w:rsidRPr="003A54AA">
        <w:rPr>
          <w:rFonts w:ascii="Tahoma" w:hAnsi="Tahoma" w:cs="Tahoma"/>
          <w:b/>
          <w:bCs/>
          <w:sz w:val="24"/>
          <w:szCs w:val="24"/>
        </w:rPr>
        <w:lastRenderedPageBreak/>
        <w:t xml:space="preserve">Table 8 Estimated </w:t>
      </w:r>
      <w:proofErr w:type="gramStart"/>
      <w:r w:rsidRPr="003A54AA">
        <w:rPr>
          <w:rFonts w:ascii="Tahoma" w:hAnsi="Tahoma" w:cs="Tahoma"/>
          <w:b/>
          <w:bCs/>
          <w:sz w:val="24"/>
          <w:szCs w:val="24"/>
        </w:rPr>
        <w:t>Number</w:t>
      </w:r>
      <w:proofErr w:type="gramEnd"/>
      <w:r w:rsidRPr="003A54AA">
        <w:rPr>
          <w:rFonts w:ascii="Tahoma" w:hAnsi="Tahoma" w:cs="Tahoma"/>
          <w:b/>
          <w:bCs/>
          <w:sz w:val="24"/>
          <w:szCs w:val="24"/>
        </w:rPr>
        <w:t xml:space="preserve"> in Employment in NMD 2015 - 2030</w:t>
      </w:r>
    </w:p>
    <w:p w:rsidR="00BF35E0" w:rsidRPr="003A54AA" w:rsidRDefault="00BF35E0" w:rsidP="00BF35E0">
      <w:pPr>
        <w:autoSpaceDE w:val="0"/>
        <w:autoSpaceDN w:val="0"/>
        <w:adjustRightInd w:val="0"/>
        <w:spacing w:after="0" w:line="240" w:lineRule="auto"/>
        <w:rPr>
          <w:rFonts w:ascii="Tahoma" w:hAnsi="Tahoma" w:cs="Tahoma"/>
          <w:b/>
          <w:bCs/>
          <w:sz w:val="24"/>
          <w:szCs w:val="24"/>
        </w:rPr>
      </w:pPr>
    </w:p>
    <w:tbl>
      <w:tblPr>
        <w:tblW w:w="9390" w:type="dxa"/>
        <w:tblInd w:w="93" w:type="dxa"/>
        <w:tblLook w:val="04A0" w:firstRow="1" w:lastRow="0" w:firstColumn="1" w:lastColumn="0" w:noHBand="0" w:noVBand="1"/>
      </w:tblPr>
      <w:tblGrid>
        <w:gridCol w:w="3330"/>
        <w:gridCol w:w="1221"/>
        <w:gridCol w:w="1531"/>
        <w:gridCol w:w="1654"/>
        <w:gridCol w:w="1654"/>
      </w:tblGrid>
      <w:tr w:rsidR="00BF35E0" w:rsidRPr="00937824" w:rsidTr="005E77C5">
        <w:trPr>
          <w:trHeight w:val="300"/>
        </w:trPr>
        <w:tc>
          <w:tcPr>
            <w:tcW w:w="333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c>
          <w:tcPr>
            <w:tcW w:w="1221" w:type="dxa"/>
            <w:tcBorders>
              <w:top w:val="single" w:sz="4" w:space="0" w:color="auto"/>
              <w:left w:val="nil"/>
              <w:bottom w:val="single" w:sz="4" w:space="0" w:color="auto"/>
              <w:right w:val="single" w:sz="4" w:space="0" w:color="auto"/>
            </w:tcBorders>
            <w:shd w:val="clear" w:color="000000" w:fill="BFBFBF"/>
            <w:noWrap/>
            <w:vAlign w:val="bottom"/>
            <w:hideMark/>
          </w:tcPr>
          <w:p w:rsidR="00BF35E0" w:rsidRPr="00937824" w:rsidRDefault="00BF35E0" w:rsidP="005E77C5">
            <w:pPr>
              <w:spacing w:after="0" w:line="240" w:lineRule="auto"/>
              <w:jc w:val="right"/>
              <w:rPr>
                <w:rFonts w:ascii="Calibri" w:eastAsia="Times New Roman" w:hAnsi="Calibri" w:cs="Times New Roman"/>
                <w:b/>
                <w:bCs/>
                <w:color w:val="000000"/>
                <w:lang w:eastAsia="en-GB"/>
              </w:rPr>
            </w:pPr>
            <w:r w:rsidRPr="00937824">
              <w:rPr>
                <w:rFonts w:ascii="Calibri" w:eastAsia="Times New Roman" w:hAnsi="Calibri" w:cs="Times New Roman"/>
                <w:b/>
                <w:bCs/>
                <w:color w:val="000000"/>
                <w:lang w:eastAsia="en-GB"/>
              </w:rPr>
              <w:t>2015</w:t>
            </w:r>
          </w:p>
        </w:tc>
        <w:tc>
          <w:tcPr>
            <w:tcW w:w="1531" w:type="dxa"/>
            <w:tcBorders>
              <w:top w:val="single" w:sz="4" w:space="0" w:color="auto"/>
              <w:left w:val="nil"/>
              <w:bottom w:val="single" w:sz="4" w:space="0" w:color="auto"/>
              <w:right w:val="single" w:sz="4" w:space="0" w:color="auto"/>
            </w:tcBorders>
            <w:shd w:val="clear" w:color="000000" w:fill="BFBFBF"/>
            <w:noWrap/>
            <w:vAlign w:val="bottom"/>
            <w:hideMark/>
          </w:tcPr>
          <w:p w:rsidR="00BF35E0" w:rsidRPr="00937824" w:rsidRDefault="00BF35E0" w:rsidP="005E77C5">
            <w:pPr>
              <w:spacing w:after="0" w:line="240" w:lineRule="auto"/>
              <w:jc w:val="right"/>
              <w:rPr>
                <w:rFonts w:ascii="Calibri" w:eastAsia="Times New Roman" w:hAnsi="Calibri" w:cs="Times New Roman"/>
                <w:b/>
                <w:bCs/>
                <w:color w:val="000000"/>
                <w:lang w:eastAsia="en-GB"/>
              </w:rPr>
            </w:pPr>
            <w:r w:rsidRPr="00937824">
              <w:rPr>
                <w:rFonts w:ascii="Calibri" w:eastAsia="Times New Roman" w:hAnsi="Calibri" w:cs="Times New Roman"/>
                <w:b/>
                <w:bCs/>
                <w:color w:val="000000"/>
                <w:lang w:eastAsia="en-GB"/>
              </w:rPr>
              <w:t>2020</w:t>
            </w:r>
          </w:p>
        </w:tc>
        <w:tc>
          <w:tcPr>
            <w:tcW w:w="1654" w:type="dxa"/>
            <w:tcBorders>
              <w:top w:val="single" w:sz="4" w:space="0" w:color="auto"/>
              <w:left w:val="nil"/>
              <w:bottom w:val="single" w:sz="4" w:space="0" w:color="auto"/>
              <w:right w:val="single" w:sz="4" w:space="0" w:color="auto"/>
            </w:tcBorders>
            <w:shd w:val="clear" w:color="000000" w:fill="BFBFBF"/>
            <w:noWrap/>
            <w:vAlign w:val="bottom"/>
            <w:hideMark/>
          </w:tcPr>
          <w:p w:rsidR="00BF35E0" w:rsidRPr="00937824" w:rsidRDefault="00BF35E0" w:rsidP="005E77C5">
            <w:pPr>
              <w:spacing w:after="0" w:line="240" w:lineRule="auto"/>
              <w:jc w:val="right"/>
              <w:rPr>
                <w:rFonts w:ascii="Calibri" w:eastAsia="Times New Roman" w:hAnsi="Calibri" w:cs="Times New Roman"/>
                <w:b/>
                <w:bCs/>
                <w:color w:val="000000"/>
                <w:lang w:eastAsia="en-GB"/>
              </w:rPr>
            </w:pPr>
            <w:r w:rsidRPr="00937824">
              <w:rPr>
                <w:rFonts w:ascii="Calibri" w:eastAsia="Times New Roman" w:hAnsi="Calibri" w:cs="Times New Roman"/>
                <w:b/>
                <w:bCs/>
                <w:color w:val="000000"/>
                <w:lang w:eastAsia="en-GB"/>
              </w:rPr>
              <w:t>2025</w:t>
            </w:r>
          </w:p>
        </w:tc>
        <w:tc>
          <w:tcPr>
            <w:tcW w:w="1654" w:type="dxa"/>
            <w:tcBorders>
              <w:top w:val="single" w:sz="4" w:space="0" w:color="auto"/>
              <w:left w:val="nil"/>
              <w:bottom w:val="single" w:sz="4" w:space="0" w:color="auto"/>
              <w:right w:val="single" w:sz="4" w:space="0" w:color="auto"/>
            </w:tcBorders>
            <w:shd w:val="clear" w:color="000000" w:fill="BFBFBF"/>
            <w:noWrap/>
            <w:vAlign w:val="bottom"/>
            <w:hideMark/>
          </w:tcPr>
          <w:p w:rsidR="00BF35E0" w:rsidRPr="00937824" w:rsidRDefault="00BF35E0" w:rsidP="005E77C5">
            <w:pPr>
              <w:spacing w:after="0" w:line="240" w:lineRule="auto"/>
              <w:jc w:val="right"/>
              <w:rPr>
                <w:rFonts w:ascii="Calibri" w:eastAsia="Times New Roman" w:hAnsi="Calibri" w:cs="Times New Roman"/>
                <w:b/>
                <w:bCs/>
                <w:color w:val="000000"/>
                <w:lang w:eastAsia="en-GB"/>
              </w:rPr>
            </w:pPr>
            <w:r w:rsidRPr="00937824">
              <w:rPr>
                <w:rFonts w:ascii="Calibri" w:eastAsia="Times New Roman" w:hAnsi="Calibri" w:cs="Times New Roman"/>
                <w:b/>
                <w:bCs/>
                <w:color w:val="000000"/>
                <w:lang w:eastAsia="en-GB"/>
              </w:rPr>
              <w:t>2030</w:t>
            </w:r>
          </w:p>
        </w:tc>
      </w:tr>
      <w:tr w:rsidR="00BF35E0" w:rsidRPr="00937824" w:rsidTr="005E77C5">
        <w:trPr>
          <w:trHeight w:val="300"/>
        </w:trPr>
        <w:tc>
          <w:tcPr>
            <w:tcW w:w="3330" w:type="dxa"/>
            <w:tcBorders>
              <w:top w:val="nil"/>
              <w:left w:val="single" w:sz="4" w:space="0" w:color="auto"/>
              <w:bottom w:val="single" w:sz="4" w:space="0" w:color="auto"/>
              <w:right w:val="single" w:sz="4" w:space="0" w:color="auto"/>
            </w:tcBorders>
            <w:shd w:val="clear" w:color="000000" w:fill="BFBFBF"/>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Population Estimate by Year</w:t>
            </w:r>
            <w:r w:rsidR="00202FF7">
              <w:rPr>
                <w:rFonts w:ascii="Calibri" w:eastAsia="Times New Roman" w:hAnsi="Calibri" w:cs="Times New Roman"/>
                <w:color w:val="000000"/>
                <w:lang w:eastAsia="en-GB"/>
              </w:rPr>
              <w:t>*</w:t>
            </w:r>
          </w:p>
        </w:tc>
        <w:tc>
          <w:tcPr>
            <w:tcW w:w="122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177,681</w:t>
            </w:r>
          </w:p>
        </w:tc>
        <w:tc>
          <w:tcPr>
            <w:tcW w:w="153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185,011</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191,833</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197,836</w:t>
            </w:r>
          </w:p>
        </w:tc>
      </w:tr>
      <w:tr w:rsidR="00BF35E0" w:rsidRPr="00937824" w:rsidTr="005E77C5">
        <w:trPr>
          <w:trHeight w:val="300"/>
        </w:trPr>
        <w:tc>
          <w:tcPr>
            <w:tcW w:w="3330" w:type="dxa"/>
            <w:tcBorders>
              <w:top w:val="nil"/>
              <w:left w:val="single" w:sz="4" w:space="0" w:color="auto"/>
              <w:bottom w:val="single" w:sz="4" w:space="0" w:color="auto"/>
              <w:right w:val="single" w:sz="4" w:space="0" w:color="auto"/>
            </w:tcBorders>
            <w:shd w:val="clear" w:color="000000" w:fill="BFBFBF"/>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Population Ages 16-74 (71%</w:t>
            </w:r>
            <w:proofErr w:type="gramStart"/>
            <w:r w:rsidRPr="00937824">
              <w:rPr>
                <w:rFonts w:ascii="Calibri" w:eastAsia="Times New Roman" w:hAnsi="Calibri" w:cs="Times New Roman"/>
                <w:color w:val="000000"/>
                <w:lang w:eastAsia="en-GB"/>
              </w:rPr>
              <w:t>)</w:t>
            </w:r>
            <w:r w:rsidR="007C64A1">
              <w:rPr>
                <w:rFonts w:ascii="Calibri" w:eastAsia="Times New Roman" w:hAnsi="Calibri" w:cs="Times New Roman"/>
                <w:color w:val="000000"/>
                <w:lang w:eastAsia="en-GB"/>
              </w:rPr>
              <w:t>*</w:t>
            </w:r>
            <w:proofErr w:type="gramEnd"/>
            <w:r w:rsidR="007C64A1">
              <w:rPr>
                <w:rFonts w:ascii="Calibri" w:eastAsia="Times New Roman" w:hAnsi="Calibri" w:cs="Times New Roman"/>
                <w:color w:val="000000"/>
                <w:lang w:eastAsia="en-GB"/>
              </w:rPr>
              <w:t>*</w:t>
            </w:r>
          </w:p>
        </w:tc>
        <w:tc>
          <w:tcPr>
            <w:tcW w:w="122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126,154</w:t>
            </w:r>
          </w:p>
        </w:tc>
        <w:tc>
          <w:tcPr>
            <w:tcW w:w="153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131,358</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136,201</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140,464</w:t>
            </w:r>
          </w:p>
        </w:tc>
      </w:tr>
      <w:tr w:rsidR="00BF35E0" w:rsidRPr="00937824" w:rsidTr="005E77C5">
        <w:trPr>
          <w:trHeight w:val="600"/>
        </w:trPr>
        <w:tc>
          <w:tcPr>
            <w:tcW w:w="3330" w:type="dxa"/>
            <w:tcBorders>
              <w:top w:val="nil"/>
              <w:left w:val="single" w:sz="4" w:space="0" w:color="auto"/>
              <w:bottom w:val="single" w:sz="4" w:space="0" w:color="auto"/>
              <w:right w:val="single" w:sz="4" w:space="0" w:color="auto"/>
            </w:tcBorders>
            <w:shd w:val="clear" w:color="000000" w:fill="BFBFBF"/>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Economically Active Population (66%</w:t>
            </w:r>
            <w:proofErr w:type="gramStart"/>
            <w:r w:rsidRPr="00937824">
              <w:rPr>
                <w:rFonts w:ascii="Calibri" w:eastAsia="Times New Roman" w:hAnsi="Calibri" w:cs="Times New Roman"/>
                <w:color w:val="000000"/>
                <w:lang w:eastAsia="en-GB"/>
              </w:rPr>
              <w:t>)</w:t>
            </w:r>
            <w:r w:rsidR="007C64A1">
              <w:rPr>
                <w:rFonts w:ascii="Calibri" w:eastAsia="Times New Roman" w:hAnsi="Calibri" w:cs="Times New Roman"/>
                <w:color w:val="000000"/>
                <w:lang w:eastAsia="en-GB"/>
              </w:rPr>
              <w:t>*</w:t>
            </w:r>
            <w:proofErr w:type="gramEnd"/>
            <w:r w:rsidR="007C64A1">
              <w:rPr>
                <w:rFonts w:ascii="Calibri" w:eastAsia="Times New Roman" w:hAnsi="Calibri" w:cs="Times New Roman"/>
                <w:color w:val="000000"/>
                <w:lang w:eastAsia="en-GB"/>
              </w:rPr>
              <w:t>**</w:t>
            </w:r>
          </w:p>
        </w:tc>
        <w:tc>
          <w:tcPr>
            <w:tcW w:w="122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83,262</w:t>
            </w:r>
          </w:p>
        </w:tc>
        <w:tc>
          <w:tcPr>
            <w:tcW w:w="153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86,696</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89,893</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92,706</w:t>
            </w:r>
          </w:p>
        </w:tc>
      </w:tr>
      <w:tr w:rsidR="00BF35E0" w:rsidRPr="00937824" w:rsidTr="005E77C5">
        <w:trPr>
          <w:trHeight w:val="600"/>
        </w:trPr>
        <w:tc>
          <w:tcPr>
            <w:tcW w:w="3330" w:type="dxa"/>
            <w:tcBorders>
              <w:top w:val="nil"/>
              <w:left w:val="single" w:sz="4" w:space="0" w:color="auto"/>
              <w:bottom w:val="single" w:sz="4" w:space="0" w:color="auto"/>
              <w:right w:val="single" w:sz="4" w:space="0" w:color="auto"/>
            </w:tcBorders>
            <w:shd w:val="clear" w:color="000000" w:fill="BFBFBF"/>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The number in employme</w:t>
            </w:r>
            <w:r>
              <w:rPr>
                <w:rFonts w:ascii="Calibri" w:eastAsia="Times New Roman" w:hAnsi="Calibri" w:cs="Times New Roman"/>
                <w:color w:val="000000"/>
                <w:lang w:eastAsia="en-GB"/>
              </w:rPr>
              <w:t>nt (less 4</w:t>
            </w:r>
            <w:r w:rsidRPr="00937824">
              <w:rPr>
                <w:rFonts w:ascii="Calibri" w:eastAsia="Times New Roman" w:hAnsi="Calibri" w:cs="Times New Roman"/>
                <w:color w:val="000000"/>
                <w:lang w:eastAsia="en-GB"/>
              </w:rPr>
              <w:t>% unemployment rate)</w:t>
            </w:r>
          </w:p>
        </w:tc>
        <w:tc>
          <w:tcPr>
            <w:tcW w:w="122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79,932</w:t>
            </w:r>
          </w:p>
        </w:tc>
        <w:tc>
          <w:tcPr>
            <w:tcW w:w="1531"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83,228</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86,297</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jc w:val="right"/>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88,998</w:t>
            </w:r>
          </w:p>
        </w:tc>
      </w:tr>
      <w:tr w:rsidR="00BF35E0" w:rsidRPr="00937824" w:rsidTr="005E77C5">
        <w:trPr>
          <w:trHeight w:val="300"/>
        </w:trPr>
        <w:tc>
          <w:tcPr>
            <w:tcW w:w="3330" w:type="dxa"/>
            <w:tcBorders>
              <w:top w:val="nil"/>
              <w:left w:val="single" w:sz="4" w:space="0" w:color="auto"/>
              <w:bottom w:val="nil"/>
              <w:right w:val="nil"/>
            </w:tcBorders>
            <w:shd w:val="clear" w:color="auto" w:fill="auto"/>
            <w:noWrap/>
            <w:vAlign w:val="bottom"/>
            <w:hideMark/>
          </w:tcPr>
          <w:p w:rsidR="00BF35E0" w:rsidRPr="00C464A8" w:rsidRDefault="00BF35E0"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Notes:</w:t>
            </w:r>
          </w:p>
        </w:tc>
        <w:tc>
          <w:tcPr>
            <w:tcW w:w="1221" w:type="dxa"/>
            <w:tcBorders>
              <w:top w:val="nil"/>
              <w:left w:val="nil"/>
              <w:bottom w:val="nil"/>
              <w:right w:val="nil"/>
            </w:tcBorders>
            <w:shd w:val="clear" w:color="auto" w:fill="auto"/>
            <w:noWrap/>
            <w:vAlign w:val="bottom"/>
            <w:hideMark/>
          </w:tcPr>
          <w:p w:rsidR="00BF35E0" w:rsidRPr="00C464A8" w:rsidRDefault="00BF35E0"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 </w:t>
            </w:r>
          </w:p>
        </w:tc>
        <w:tc>
          <w:tcPr>
            <w:tcW w:w="1531" w:type="dxa"/>
            <w:tcBorders>
              <w:top w:val="nil"/>
              <w:left w:val="nil"/>
              <w:bottom w:val="nil"/>
              <w:right w:val="nil"/>
            </w:tcBorders>
            <w:shd w:val="clear" w:color="auto" w:fill="auto"/>
            <w:noWrap/>
            <w:vAlign w:val="bottom"/>
            <w:hideMark/>
          </w:tcPr>
          <w:p w:rsidR="00BF35E0" w:rsidRPr="00C464A8" w:rsidRDefault="00BF35E0"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 </w:t>
            </w:r>
          </w:p>
        </w:tc>
        <w:tc>
          <w:tcPr>
            <w:tcW w:w="1654" w:type="dxa"/>
            <w:tcBorders>
              <w:top w:val="nil"/>
              <w:left w:val="nil"/>
              <w:bottom w:val="nil"/>
              <w:right w:val="nil"/>
            </w:tcBorders>
            <w:shd w:val="clear" w:color="auto" w:fill="auto"/>
            <w:noWrap/>
            <w:vAlign w:val="bottom"/>
            <w:hideMark/>
          </w:tcPr>
          <w:p w:rsidR="00BF35E0" w:rsidRPr="00C464A8" w:rsidRDefault="00BF35E0"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 </w:t>
            </w:r>
          </w:p>
        </w:tc>
        <w:tc>
          <w:tcPr>
            <w:tcW w:w="1654" w:type="dxa"/>
            <w:tcBorders>
              <w:top w:val="nil"/>
              <w:left w:val="nil"/>
              <w:bottom w:val="nil"/>
              <w:right w:val="single" w:sz="4" w:space="0" w:color="auto"/>
            </w:tcBorders>
            <w:shd w:val="clear" w:color="auto" w:fill="auto"/>
            <w:noWrap/>
            <w:vAlign w:val="bottom"/>
            <w:hideMark/>
          </w:tcPr>
          <w:p w:rsidR="00BF35E0" w:rsidRPr="00C464A8" w:rsidRDefault="00BF35E0"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 </w:t>
            </w:r>
          </w:p>
        </w:tc>
      </w:tr>
      <w:tr w:rsidR="00BF35E0" w:rsidRPr="00937824" w:rsidTr="005E77C5">
        <w:trPr>
          <w:trHeight w:val="300"/>
        </w:trPr>
        <w:tc>
          <w:tcPr>
            <w:tcW w:w="9390" w:type="dxa"/>
            <w:gridSpan w:val="5"/>
            <w:tcBorders>
              <w:top w:val="nil"/>
              <w:left w:val="single" w:sz="4" w:space="0" w:color="auto"/>
              <w:bottom w:val="nil"/>
              <w:right w:val="single" w:sz="4" w:space="0" w:color="000000"/>
            </w:tcBorders>
            <w:shd w:val="clear" w:color="auto" w:fill="auto"/>
            <w:vAlign w:val="bottom"/>
            <w:hideMark/>
          </w:tcPr>
          <w:p w:rsidR="00202FF7" w:rsidRPr="00C464A8" w:rsidRDefault="00202FF7"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 xml:space="preserve">*2012 NISRA </w:t>
            </w:r>
            <w:r w:rsidR="009D4264">
              <w:rPr>
                <w:rFonts w:ascii="Calibri" w:eastAsia="Times New Roman" w:hAnsi="Calibri" w:cs="Times New Roman"/>
                <w:color w:val="000000"/>
                <w:sz w:val="16"/>
                <w:szCs w:val="16"/>
                <w:lang w:eastAsia="en-GB"/>
              </w:rPr>
              <w:t xml:space="preserve">Newry, </w:t>
            </w:r>
            <w:proofErr w:type="spellStart"/>
            <w:r w:rsidR="009D4264">
              <w:rPr>
                <w:rFonts w:ascii="Calibri" w:eastAsia="Times New Roman" w:hAnsi="Calibri" w:cs="Times New Roman"/>
                <w:color w:val="000000"/>
                <w:sz w:val="16"/>
                <w:szCs w:val="16"/>
                <w:lang w:eastAsia="en-GB"/>
              </w:rPr>
              <w:t>Mourne</w:t>
            </w:r>
            <w:proofErr w:type="spellEnd"/>
            <w:r w:rsidR="009D4264">
              <w:rPr>
                <w:rFonts w:ascii="Calibri" w:eastAsia="Times New Roman" w:hAnsi="Calibri" w:cs="Times New Roman"/>
                <w:color w:val="000000"/>
                <w:sz w:val="16"/>
                <w:szCs w:val="16"/>
                <w:lang w:eastAsia="en-GB"/>
              </w:rPr>
              <w:t xml:space="preserve"> and Down</w:t>
            </w:r>
            <w:r w:rsidR="007C64A1" w:rsidRPr="00C464A8">
              <w:rPr>
                <w:rFonts w:ascii="Calibri" w:eastAsia="Times New Roman" w:hAnsi="Calibri" w:cs="Times New Roman"/>
                <w:color w:val="000000"/>
                <w:sz w:val="16"/>
                <w:szCs w:val="16"/>
                <w:lang w:eastAsia="en-GB"/>
              </w:rPr>
              <w:t xml:space="preserve"> Population projections.</w:t>
            </w:r>
          </w:p>
          <w:p w:rsidR="00BF35E0" w:rsidRPr="00C464A8" w:rsidRDefault="007C64A1"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**Figure for population aged 16-74</w:t>
            </w:r>
            <w:r w:rsidR="00BF35E0" w:rsidRPr="00C464A8">
              <w:rPr>
                <w:rFonts w:ascii="Calibri" w:eastAsia="Times New Roman" w:hAnsi="Calibri" w:cs="Times New Roman"/>
                <w:color w:val="000000"/>
                <w:sz w:val="16"/>
                <w:szCs w:val="16"/>
                <w:lang w:eastAsia="en-GB"/>
              </w:rPr>
              <w:t xml:space="preserve"> for each year is derived as 71% of the population of</w:t>
            </w:r>
            <w:r w:rsidRPr="00C464A8">
              <w:rPr>
                <w:rFonts w:ascii="Calibri" w:eastAsia="Times New Roman" w:hAnsi="Calibri" w:cs="Times New Roman"/>
                <w:color w:val="000000"/>
                <w:sz w:val="16"/>
                <w:szCs w:val="16"/>
                <w:lang w:eastAsia="en-GB"/>
              </w:rPr>
              <w:t xml:space="preserve"> that year equivalent to the 16-74</w:t>
            </w:r>
            <w:r w:rsidR="00BF35E0" w:rsidRPr="00C464A8">
              <w:rPr>
                <w:rFonts w:ascii="Calibri" w:eastAsia="Times New Roman" w:hAnsi="Calibri" w:cs="Times New Roman"/>
                <w:color w:val="000000"/>
                <w:sz w:val="16"/>
                <w:szCs w:val="16"/>
                <w:lang w:eastAsia="en-GB"/>
              </w:rPr>
              <w:t xml:space="preserve"> proportion in 2011.</w:t>
            </w:r>
          </w:p>
        </w:tc>
      </w:tr>
      <w:tr w:rsidR="00BF35E0" w:rsidRPr="00937824" w:rsidTr="005E77C5">
        <w:trPr>
          <w:trHeight w:val="300"/>
        </w:trPr>
        <w:tc>
          <w:tcPr>
            <w:tcW w:w="9390" w:type="dxa"/>
            <w:gridSpan w:val="5"/>
            <w:tcBorders>
              <w:top w:val="nil"/>
              <w:left w:val="single" w:sz="4" w:space="0" w:color="auto"/>
              <w:bottom w:val="nil"/>
              <w:right w:val="single" w:sz="4" w:space="0" w:color="000000"/>
            </w:tcBorders>
            <w:shd w:val="clear" w:color="auto" w:fill="auto"/>
            <w:noWrap/>
            <w:vAlign w:val="bottom"/>
            <w:hideMark/>
          </w:tcPr>
          <w:p w:rsidR="00BF35E0" w:rsidRPr="00C464A8" w:rsidRDefault="007C64A1" w:rsidP="005E77C5">
            <w:pPr>
              <w:spacing w:after="0" w:line="240" w:lineRule="auto"/>
              <w:rPr>
                <w:rFonts w:ascii="Calibri" w:eastAsia="Times New Roman" w:hAnsi="Calibri" w:cs="Times New Roman"/>
                <w:color w:val="000000"/>
                <w:sz w:val="16"/>
                <w:szCs w:val="16"/>
                <w:lang w:eastAsia="en-GB"/>
              </w:rPr>
            </w:pPr>
            <w:r w:rsidRPr="00C464A8">
              <w:rPr>
                <w:rFonts w:ascii="Calibri" w:eastAsia="Times New Roman" w:hAnsi="Calibri" w:cs="Times New Roman"/>
                <w:color w:val="000000"/>
                <w:sz w:val="16"/>
                <w:szCs w:val="16"/>
                <w:lang w:eastAsia="en-GB"/>
              </w:rPr>
              <w:t>***</w:t>
            </w:r>
            <w:r w:rsidR="00BF35E0" w:rsidRPr="00C464A8">
              <w:rPr>
                <w:rFonts w:ascii="Calibri" w:eastAsia="Times New Roman" w:hAnsi="Calibri" w:cs="Times New Roman"/>
                <w:color w:val="000000"/>
                <w:sz w:val="16"/>
                <w:szCs w:val="16"/>
                <w:lang w:eastAsia="en-GB"/>
              </w:rPr>
              <w:t>Figure for economically active assumes a continuation of the level for economically active in 2011, i.e. 66%</w:t>
            </w:r>
            <w:r w:rsidRPr="00C464A8">
              <w:rPr>
                <w:rFonts w:ascii="Calibri" w:eastAsia="Times New Roman" w:hAnsi="Calibri" w:cs="Times New Roman"/>
                <w:color w:val="000000"/>
                <w:sz w:val="16"/>
                <w:szCs w:val="16"/>
                <w:lang w:eastAsia="en-GB"/>
              </w:rPr>
              <w:t xml:space="preserve"> (Economically active includes those persons who are unemployed).</w:t>
            </w:r>
          </w:p>
        </w:tc>
      </w:tr>
      <w:tr w:rsidR="00BF35E0" w:rsidRPr="00937824" w:rsidTr="007C64A1">
        <w:trPr>
          <w:trHeight w:val="300"/>
        </w:trPr>
        <w:tc>
          <w:tcPr>
            <w:tcW w:w="9390" w:type="dxa"/>
            <w:gridSpan w:val="5"/>
            <w:tcBorders>
              <w:top w:val="nil"/>
              <w:left w:val="single" w:sz="4" w:space="0" w:color="auto"/>
              <w:bottom w:val="nil"/>
              <w:right w:val="single" w:sz="4" w:space="0" w:color="000000"/>
            </w:tcBorders>
            <w:shd w:val="clear" w:color="auto" w:fill="auto"/>
            <w:noWrap/>
            <w:vAlign w:val="bottom"/>
          </w:tcPr>
          <w:p w:rsidR="00BF35E0" w:rsidRPr="00C464A8" w:rsidRDefault="00E1243E" w:rsidP="005E77C5">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 </w:t>
            </w:r>
            <w:r w:rsidR="007C64A1" w:rsidRPr="00C464A8">
              <w:rPr>
                <w:rFonts w:ascii="Calibri" w:eastAsia="Times New Roman" w:hAnsi="Calibri" w:cs="Times New Roman"/>
                <w:color w:val="000000"/>
                <w:sz w:val="16"/>
                <w:szCs w:val="16"/>
                <w:lang w:eastAsia="en-GB"/>
              </w:rPr>
              <w:t xml:space="preserve">****Unemployment rate based on the average claimant count for NMD over 2001-2014 </w:t>
            </w:r>
            <w:proofErr w:type="gramStart"/>
            <w:r w:rsidR="007C64A1" w:rsidRPr="00C464A8">
              <w:rPr>
                <w:rFonts w:ascii="Calibri" w:eastAsia="Times New Roman" w:hAnsi="Calibri" w:cs="Times New Roman"/>
                <w:color w:val="000000"/>
                <w:sz w:val="16"/>
                <w:szCs w:val="16"/>
                <w:lang w:eastAsia="en-GB"/>
              </w:rPr>
              <w:t>period</w:t>
            </w:r>
            <w:proofErr w:type="gramEnd"/>
            <w:r w:rsidR="007C64A1" w:rsidRPr="00C464A8">
              <w:rPr>
                <w:rFonts w:ascii="Calibri" w:eastAsia="Times New Roman" w:hAnsi="Calibri" w:cs="Times New Roman"/>
                <w:color w:val="000000"/>
                <w:sz w:val="16"/>
                <w:szCs w:val="16"/>
                <w:lang w:eastAsia="en-GB"/>
              </w:rPr>
              <w:t xml:space="preserve"> (4%).</w:t>
            </w:r>
          </w:p>
        </w:tc>
      </w:tr>
      <w:tr w:rsidR="00BF35E0" w:rsidRPr="00937824" w:rsidTr="005E77C5">
        <w:trPr>
          <w:trHeight w:val="300"/>
        </w:trPr>
        <w:tc>
          <w:tcPr>
            <w:tcW w:w="3330" w:type="dxa"/>
            <w:tcBorders>
              <w:top w:val="nil"/>
              <w:left w:val="single" w:sz="4" w:space="0" w:color="auto"/>
              <w:bottom w:val="single" w:sz="4" w:space="0" w:color="auto"/>
              <w:right w:val="nil"/>
            </w:tcBorders>
            <w:shd w:val="clear" w:color="auto" w:fill="auto"/>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c>
          <w:tcPr>
            <w:tcW w:w="1221" w:type="dxa"/>
            <w:tcBorders>
              <w:top w:val="nil"/>
              <w:left w:val="nil"/>
              <w:bottom w:val="single" w:sz="4" w:space="0" w:color="auto"/>
              <w:right w:val="nil"/>
            </w:tcBorders>
            <w:shd w:val="clear" w:color="auto" w:fill="auto"/>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c>
          <w:tcPr>
            <w:tcW w:w="1531" w:type="dxa"/>
            <w:tcBorders>
              <w:top w:val="nil"/>
              <w:left w:val="nil"/>
              <w:bottom w:val="single" w:sz="4" w:space="0" w:color="auto"/>
              <w:right w:val="nil"/>
            </w:tcBorders>
            <w:shd w:val="clear" w:color="auto" w:fill="auto"/>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c>
          <w:tcPr>
            <w:tcW w:w="1654" w:type="dxa"/>
            <w:tcBorders>
              <w:top w:val="nil"/>
              <w:left w:val="nil"/>
              <w:bottom w:val="single" w:sz="4" w:space="0" w:color="auto"/>
              <w:right w:val="nil"/>
            </w:tcBorders>
            <w:shd w:val="clear" w:color="auto" w:fill="auto"/>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c>
          <w:tcPr>
            <w:tcW w:w="1654" w:type="dxa"/>
            <w:tcBorders>
              <w:top w:val="nil"/>
              <w:left w:val="nil"/>
              <w:bottom w:val="single" w:sz="4" w:space="0" w:color="auto"/>
              <w:right w:val="single" w:sz="4" w:space="0" w:color="auto"/>
            </w:tcBorders>
            <w:shd w:val="clear" w:color="auto" w:fill="auto"/>
            <w:noWrap/>
            <w:vAlign w:val="bottom"/>
            <w:hideMark/>
          </w:tcPr>
          <w:p w:rsidR="00BF35E0" w:rsidRPr="00937824" w:rsidRDefault="00BF35E0" w:rsidP="005E77C5">
            <w:pPr>
              <w:spacing w:after="0" w:line="240" w:lineRule="auto"/>
              <w:rPr>
                <w:rFonts w:ascii="Calibri" w:eastAsia="Times New Roman" w:hAnsi="Calibri" w:cs="Times New Roman"/>
                <w:color w:val="000000"/>
                <w:lang w:eastAsia="en-GB"/>
              </w:rPr>
            </w:pPr>
            <w:r w:rsidRPr="00937824">
              <w:rPr>
                <w:rFonts w:ascii="Calibri" w:eastAsia="Times New Roman" w:hAnsi="Calibri" w:cs="Times New Roman"/>
                <w:color w:val="000000"/>
                <w:lang w:eastAsia="en-GB"/>
              </w:rPr>
              <w:t> </w:t>
            </w:r>
          </w:p>
        </w:tc>
      </w:tr>
    </w:tbl>
    <w:p w:rsidR="00BF35E0" w:rsidRDefault="00BF35E0" w:rsidP="00BF35E0">
      <w:pPr>
        <w:autoSpaceDE w:val="0"/>
        <w:autoSpaceDN w:val="0"/>
        <w:adjustRightInd w:val="0"/>
        <w:spacing w:after="0" w:line="240" w:lineRule="auto"/>
        <w:rPr>
          <w:rFonts w:ascii="Arial" w:hAnsi="Arial" w:cs="Arial"/>
          <w:b/>
          <w:bCs/>
          <w:sz w:val="24"/>
          <w:szCs w:val="24"/>
        </w:rPr>
      </w:pPr>
    </w:p>
    <w:p w:rsidR="00BF35E0" w:rsidRDefault="00BF35E0" w:rsidP="00B94C4F">
      <w:pPr>
        <w:autoSpaceDE w:val="0"/>
        <w:autoSpaceDN w:val="0"/>
        <w:adjustRightInd w:val="0"/>
        <w:spacing w:after="0" w:line="240" w:lineRule="auto"/>
        <w:rPr>
          <w:rFonts w:ascii="Arial" w:hAnsi="Arial" w:cs="Arial"/>
          <w:sz w:val="24"/>
          <w:szCs w:val="24"/>
        </w:rPr>
      </w:pPr>
    </w:p>
    <w:p w:rsidR="00B94C4F" w:rsidRPr="003A54AA" w:rsidRDefault="00313304" w:rsidP="00185000">
      <w:pPr>
        <w:autoSpaceDE w:val="0"/>
        <w:autoSpaceDN w:val="0"/>
        <w:adjustRightInd w:val="0"/>
        <w:spacing w:after="0" w:line="240" w:lineRule="auto"/>
        <w:jc w:val="both"/>
        <w:rPr>
          <w:rFonts w:ascii="Tahoma" w:hAnsi="Tahoma" w:cs="Tahoma"/>
          <w:color w:val="FF0000"/>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.9 </w:t>
      </w:r>
      <w:r w:rsidR="003F2672">
        <w:rPr>
          <w:rFonts w:ascii="Tahoma" w:hAnsi="Tahoma" w:cs="Tahoma"/>
          <w:b/>
          <w:bCs/>
          <w:sz w:val="24"/>
          <w:szCs w:val="24"/>
        </w:rPr>
        <w:tab/>
      </w:r>
      <w:r w:rsidR="00B94C4F" w:rsidRPr="003A54AA">
        <w:rPr>
          <w:rFonts w:ascii="Tahoma" w:hAnsi="Tahoma" w:cs="Tahoma"/>
          <w:sz w:val="24"/>
          <w:szCs w:val="24"/>
        </w:rPr>
        <w:t>By subtracting the number in employment in 2015 from the number in employment in 2030, the total number of additional jobs required between 2015 and 2030</w:t>
      </w:r>
      <w:r w:rsidR="009B2F1D" w:rsidRPr="003A54AA">
        <w:rPr>
          <w:rFonts w:ascii="Tahoma" w:hAnsi="Tahoma" w:cs="Tahoma"/>
          <w:sz w:val="24"/>
          <w:szCs w:val="24"/>
        </w:rPr>
        <w:t xml:space="preserve"> is 9,066</w:t>
      </w:r>
      <w:r w:rsidR="00B94C4F" w:rsidRPr="003A54AA">
        <w:rPr>
          <w:rFonts w:ascii="Tahoma" w:hAnsi="Tahoma" w:cs="Tahoma"/>
          <w:sz w:val="24"/>
          <w:szCs w:val="24"/>
        </w:rPr>
        <w:t xml:space="preserve">. </w:t>
      </w:r>
      <w:r w:rsidR="00801B8F" w:rsidRPr="003A54AA">
        <w:rPr>
          <w:rFonts w:ascii="Tahoma" w:hAnsi="Tahoma" w:cs="Tahoma"/>
          <w:sz w:val="24"/>
          <w:szCs w:val="24"/>
        </w:rPr>
        <w:t xml:space="preserve">Using the 2008 based population figures, as detailed in the population and growth paper 1, the number of estimated jobs would have been 11,807. </w:t>
      </w:r>
      <w:r w:rsidR="00B94C4F" w:rsidRPr="003A54AA">
        <w:rPr>
          <w:rFonts w:ascii="Tahoma" w:hAnsi="Tahoma" w:cs="Tahoma"/>
          <w:sz w:val="24"/>
          <w:szCs w:val="24"/>
        </w:rPr>
        <w:t xml:space="preserve">The 2012-based population projections </w:t>
      </w:r>
      <w:r w:rsidR="00801B8F" w:rsidRPr="003A54AA">
        <w:rPr>
          <w:rFonts w:ascii="Tahoma" w:hAnsi="Tahoma" w:cs="Tahoma"/>
          <w:sz w:val="24"/>
          <w:szCs w:val="24"/>
        </w:rPr>
        <w:t xml:space="preserve">however now </w:t>
      </w:r>
      <w:r w:rsidR="00B94C4F" w:rsidRPr="003A54AA">
        <w:rPr>
          <w:rFonts w:ascii="Tahoma" w:hAnsi="Tahoma" w:cs="Tahoma"/>
          <w:sz w:val="24"/>
          <w:szCs w:val="24"/>
        </w:rPr>
        <w:t>suggest a slow</w:t>
      </w:r>
      <w:r w:rsidR="00535A0F" w:rsidRPr="003A54AA">
        <w:rPr>
          <w:rFonts w:ascii="Tahoma" w:hAnsi="Tahoma" w:cs="Tahoma"/>
          <w:sz w:val="24"/>
          <w:szCs w:val="24"/>
        </w:rPr>
        <w:t>er</w:t>
      </w:r>
      <w:r w:rsidR="00B94C4F" w:rsidRPr="003A54AA">
        <w:rPr>
          <w:rFonts w:ascii="Tahoma" w:hAnsi="Tahoma" w:cs="Tahoma"/>
          <w:sz w:val="24"/>
          <w:szCs w:val="24"/>
        </w:rPr>
        <w:t xml:space="preserve"> rate of population increas</w:t>
      </w:r>
      <w:r w:rsidR="00801B8F" w:rsidRPr="003A54AA">
        <w:rPr>
          <w:rFonts w:ascii="Tahoma" w:hAnsi="Tahoma" w:cs="Tahoma"/>
          <w:sz w:val="24"/>
          <w:szCs w:val="24"/>
        </w:rPr>
        <w:t>e over the decade 2012-2022 and therefore fewer additional jobs would be required.</w:t>
      </w:r>
      <w:r w:rsidR="00801B8F" w:rsidRPr="003A54AA">
        <w:rPr>
          <w:rFonts w:ascii="Tahoma" w:hAnsi="Tahoma" w:cs="Tahoma"/>
          <w:color w:val="FF0000"/>
          <w:sz w:val="24"/>
          <w:szCs w:val="24"/>
        </w:rPr>
        <w:t xml:space="preserve"> </w:t>
      </w:r>
    </w:p>
    <w:p w:rsidR="00801B8F" w:rsidRPr="003A54AA" w:rsidRDefault="00801B8F" w:rsidP="00B94C4F">
      <w:pPr>
        <w:autoSpaceDE w:val="0"/>
        <w:autoSpaceDN w:val="0"/>
        <w:adjustRightInd w:val="0"/>
        <w:spacing w:after="0" w:line="240" w:lineRule="auto"/>
        <w:rPr>
          <w:rFonts w:ascii="Tahoma" w:hAnsi="Tahoma" w:cs="Tahoma"/>
          <w:i/>
          <w:iCs/>
          <w:sz w:val="24"/>
          <w:szCs w:val="24"/>
        </w:rPr>
      </w:pPr>
    </w:p>
    <w:p w:rsidR="00B94C4F" w:rsidRPr="003A54AA" w:rsidRDefault="00464E2C" w:rsidP="00B94C4F">
      <w:pPr>
        <w:autoSpaceDE w:val="0"/>
        <w:autoSpaceDN w:val="0"/>
        <w:adjustRightInd w:val="0"/>
        <w:spacing w:after="0" w:line="240" w:lineRule="auto"/>
        <w:rPr>
          <w:rFonts w:ascii="Tahoma" w:hAnsi="Tahoma" w:cs="Tahoma"/>
          <w:i/>
          <w:iCs/>
          <w:sz w:val="24"/>
          <w:szCs w:val="24"/>
        </w:rPr>
      </w:pPr>
      <w:r w:rsidRPr="003A54AA">
        <w:rPr>
          <w:rFonts w:ascii="Tahoma" w:hAnsi="Tahoma" w:cs="Tahoma"/>
          <w:i/>
          <w:iCs/>
          <w:sz w:val="24"/>
          <w:szCs w:val="24"/>
        </w:rPr>
        <w:t>(c) Method 3 – based on applying the average number o</w:t>
      </w:r>
      <w:r w:rsidR="00545425">
        <w:rPr>
          <w:rFonts w:ascii="Tahoma" w:hAnsi="Tahoma" w:cs="Tahoma"/>
          <w:i/>
          <w:iCs/>
          <w:sz w:val="24"/>
          <w:szCs w:val="24"/>
        </w:rPr>
        <w:t>f jobs created between 1999</w:t>
      </w:r>
      <w:r w:rsidRPr="003A54AA">
        <w:rPr>
          <w:rFonts w:ascii="Tahoma" w:hAnsi="Tahoma" w:cs="Tahoma"/>
          <w:i/>
          <w:iCs/>
          <w:sz w:val="24"/>
          <w:szCs w:val="24"/>
        </w:rPr>
        <w:t xml:space="preserve"> and 2013</w:t>
      </w:r>
    </w:p>
    <w:p w:rsidR="00CD2746" w:rsidRPr="003A54AA" w:rsidRDefault="00CD2746" w:rsidP="00B94C4F">
      <w:pPr>
        <w:autoSpaceDE w:val="0"/>
        <w:autoSpaceDN w:val="0"/>
        <w:adjustRightInd w:val="0"/>
        <w:spacing w:after="0" w:line="240" w:lineRule="auto"/>
        <w:rPr>
          <w:rFonts w:ascii="Tahoma" w:hAnsi="Tahoma" w:cs="Tahoma"/>
          <w:i/>
          <w:iCs/>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.10 </w:t>
      </w:r>
      <w:r w:rsidR="003F2672">
        <w:rPr>
          <w:rFonts w:ascii="Tahoma" w:hAnsi="Tahoma" w:cs="Tahoma"/>
          <w:b/>
          <w:bCs/>
          <w:sz w:val="24"/>
          <w:szCs w:val="24"/>
        </w:rPr>
        <w:tab/>
      </w:r>
      <w:r w:rsidR="00C25C26" w:rsidRPr="003A54AA">
        <w:rPr>
          <w:rFonts w:ascii="Tahoma" w:hAnsi="Tahoma" w:cs="Tahoma"/>
          <w:sz w:val="24"/>
          <w:szCs w:val="24"/>
        </w:rPr>
        <w:t xml:space="preserve">An </w:t>
      </w:r>
      <w:r w:rsidR="00F16515" w:rsidRPr="003A54AA">
        <w:rPr>
          <w:rFonts w:ascii="Tahoma" w:hAnsi="Tahoma" w:cs="Tahoma"/>
          <w:sz w:val="24"/>
          <w:szCs w:val="24"/>
        </w:rPr>
        <w:t xml:space="preserve">estimated </w:t>
      </w:r>
      <w:r w:rsidR="00F16515" w:rsidRPr="0034055B">
        <w:rPr>
          <w:rFonts w:ascii="Tahoma" w:hAnsi="Tahoma" w:cs="Tahoma"/>
          <w:sz w:val="24"/>
          <w:szCs w:val="24"/>
        </w:rPr>
        <w:t>8,599</w:t>
      </w:r>
      <w:r w:rsidR="00B94C4F" w:rsidRPr="0034055B">
        <w:rPr>
          <w:rFonts w:ascii="Tahoma" w:hAnsi="Tahoma" w:cs="Tahoma"/>
          <w:sz w:val="24"/>
          <w:szCs w:val="24"/>
        </w:rPr>
        <w:t xml:space="preserve"> </w:t>
      </w:r>
      <w:r w:rsidR="00B94C4F" w:rsidRPr="003A54AA">
        <w:rPr>
          <w:rFonts w:ascii="Tahoma" w:hAnsi="Tahoma" w:cs="Tahoma"/>
          <w:sz w:val="24"/>
          <w:szCs w:val="24"/>
        </w:rPr>
        <w:t>additional jobs wer</w:t>
      </w:r>
      <w:r w:rsidR="00F16515" w:rsidRPr="003A54AA">
        <w:rPr>
          <w:rFonts w:ascii="Tahoma" w:hAnsi="Tahoma" w:cs="Tahoma"/>
          <w:sz w:val="24"/>
          <w:szCs w:val="24"/>
        </w:rPr>
        <w:t>e created during the period 1999</w:t>
      </w:r>
      <w:r w:rsidR="00B94C4F" w:rsidRPr="003A54AA">
        <w:rPr>
          <w:rFonts w:ascii="Tahoma" w:hAnsi="Tahoma" w:cs="Tahoma"/>
          <w:sz w:val="24"/>
          <w:szCs w:val="24"/>
        </w:rPr>
        <w:t xml:space="preserve"> and</w:t>
      </w:r>
    </w:p>
    <w:p w:rsidR="00B94C4F" w:rsidRPr="003A54AA" w:rsidRDefault="00B94C4F"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2013 (Census of Employment, DETI) which included years when jobs were lost due to the recession. T</w:t>
      </w:r>
      <w:r w:rsidR="00F16515" w:rsidRPr="003A54AA">
        <w:rPr>
          <w:rFonts w:ascii="Tahoma" w:hAnsi="Tahoma" w:cs="Tahoma"/>
          <w:sz w:val="24"/>
          <w:szCs w:val="24"/>
        </w:rPr>
        <w:t>his equates to an average of 614</w:t>
      </w:r>
      <w:r w:rsidRPr="003A54AA">
        <w:rPr>
          <w:rFonts w:ascii="Tahoma" w:hAnsi="Tahoma" w:cs="Tahoma"/>
          <w:sz w:val="24"/>
          <w:szCs w:val="24"/>
        </w:rPr>
        <w:t xml:space="preserve"> jobs per annum over the period. If this average figure is applied to plan pe</w:t>
      </w:r>
      <w:r w:rsidR="00F16515" w:rsidRPr="003A54AA">
        <w:rPr>
          <w:rFonts w:ascii="Tahoma" w:hAnsi="Tahoma" w:cs="Tahoma"/>
          <w:sz w:val="24"/>
          <w:szCs w:val="24"/>
        </w:rPr>
        <w:t>riod 2015-2030,</w:t>
      </w:r>
      <w:r w:rsidR="00545425">
        <w:rPr>
          <w:rFonts w:ascii="Tahoma" w:hAnsi="Tahoma" w:cs="Tahoma"/>
          <w:sz w:val="24"/>
          <w:szCs w:val="24"/>
        </w:rPr>
        <w:t xml:space="preserve"> </w:t>
      </w:r>
      <w:r w:rsidR="00F16515" w:rsidRPr="003A54AA">
        <w:rPr>
          <w:rFonts w:ascii="Tahoma" w:hAnsi="Tahoma" w:cs="Tahoma"/>
          <w:sz w:val="24"/>
          <w:szCs w:val="24"/>
        </w:rPr>
        <w:t>potentially 9,213</w:t>
      </w:r>
      <w:r w:rsidRPr="003A54AA">
        <w:rPr>
          <w:rFonts w:ascii="Tahoma" w:hAnsi="Tahoma" w:cs="Tahoma"/>
          <w:sz w:val="24"/>
          <w:szCs w:val="24"/>
        </w:rPr>
        <w:t xml:space="preserve"> jobs might </w:t>
      </w:r>
      <w:r w:rsidR="00545425">
        <w:rPr>
          <w:rFonts w:ascii="Tahoma" w:hAnsi="Tahoma" w:cs="Tahoma"/>
          <w:sz w:val="24"/>
          <w:szCs w:val="24"/>
        </w:rPr>
        <w:t>be created which is more</w:t>
      </w:r>
      <w:r w:rsidR="00C25C26" w:rsidRPr="003A54AA">
        <w:rPr>
          <w:rFonts w:ascii="Tahoma" w:hAnsi="Tahoma" w:cs="Tahoma"/>
          <w:sz w:val="24"/>
          <w:szCs w:val="24"/>
        </w:rPr>
        <w:t xml:space="preserve"> than</w:t>
      </w:r>
      <w:r w:rsidRPr="003A54AA">
        <w:rPr>
          <w:rFonts w:ascii="Tahoma" w:hAnsi="Tahoma" w:cs="Tahoma"/>
          <w:sz w:val="24"/>
          <w:szCs w:val="24"/>
        </w:rPr>
        <w:t xml:space="preserve"> the est</w:t>
      </w:r>
      <w:r w:rsidR="00CD2746" w:rsidRPr="003A54AA">
        <w:rPr>
          <w:rFonts w:ascii="Tahoma" w:hAnsi="Tahoma" w:cs="Tahoma"/>
          <w:sz w:val="24"/>
          <w:szCs w:val="24"/>
        </w:rPr>
        <w:t>imate provided under Method</w:t>
      </w:r>
      <w:r w:rsidRPr="003A54AA">
        <w:rPr>
          <w:rFonts w:ascii="Tahoma" w:hAnsi="Tahoma" w:cs="Tahoma"/>
          <w:sz w:val="24"/>
          <w:szCs w:val="24"/>
        </w:rPr>
        <w:t xml:space="preserve"> 2.</w:t>
      </w:r>
    </w:p>
    <w:p w:rsidR="00B94C4F" w:rsidRPr="003A54AA" w:rsidRDefault="00B94C4F" w:rsidP="00185000">
      <w:pPr>
        <w:autoSpaceDE w:val="0"/>
        <w:autoSpaceDN w:val="0"/>
        <w:adjustRightInd w:val="0"/>
        <w:spacing w:after="0" w:line="240" w:lineRule="auto"/>
        <w:jc w:val="both"/>
        <w:rPr>
          <w:rFonts w:ascii="Tahoma" w:hAnsi="Tahoma" w:cs="Tahoma"/>
          <w:b/>
          <w:bCs/>
          <w:color w:val="FF0000"/>
          <w:sz w:val="24"/>
          <w:szCs w:val="24"/>
        </w:rPr>
      </w:pPr>
    </w:p>
    <w:p w:rsidR="00B94C4F"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.11 </w:t>
      </w:r>
      <w:r w:rsidR="003F2672">
        <w:rPr>
          <w:rFonts w:ascii="Tahoma" w:hAnsi="Tahoma" w:cs="Tahoma"/>
          <w:b/>
          <w:bCs/>
          <w:sz w:val="24"/>
          <w:szCs w:val="24"/>
        </w:rPr>
        <w:tab/>
      </w:r>
      <w:r w:rsidR="00545425">
        <w:rPr>
          <w:rFonts w:ascii="Tahoma" w:hAnsi="Tahoma" w:cs="Tahoma"/>
          <w:sz w:val="24"/>
          <w:szCs w:val="24"/>
        </w:rPr>
        <w:t>A weakness of m</w:t>
      </w:r>
      <w:r w:rsidR="006E71DC" w:rsidRPr="003A54AA">
        <w:rPr>
          <w:rFonts w:ascii="Tahoma" w:hAnsi="Tahoma" w:cs="Tahoma"/>
          <w:sz w:val="24"/>
          <w:szCs w:val="24"/>
        </w:rPr>
        <w:t>ethods 2 and 3 is that they do not</w:t>
      </w:r>
      <w:r w:rsidR="00B94C4F" w:rsidRPr="003A54AA">
        <w:rPr>
          <w:rFonts w:ascii="Tahoma" w:hAnsi="Tahoma" w:cs="Tahoma"/>
          <w:sz w:val="24"/>
          <w:szCs w:val="24"/>
        </w:rPr>
        <w:t xml:space="preserve"> </w:t>
      </w:r>
      <w:r w:rsidR="006E71DC" w:rsidRPr="003A54AA">
        <w:rPr>
          <w:rFonts w:ascii="Tahoma" w:hAnsi="Tahoma" w:cs="Tahoma"/>
          <w:sz w:val="24"/>
          <w:szCs w:val="24"/>
        </w:rPr>
        <w:t xml:space="preserve">differentiate between full time </w:t>
      </w:r>
      <w:r w:rsidR="00B94C4F" w:rsidRPr="003A54AA">
        <w:rPr>
          <w:rFonts w:ascii="Tahoma" w:hAnsi="Tahoma" w:cs="Tahoma"/>
          <w:sz w:val="24"/>
          <w:szCs w:val="24"/>
        </w:rPr>
        <w:t>and part-time jobs but for planning purposes, the aim is to provide a generous choice of land for economic development.</w:t>
      </w:r>
    </w:p>
    <w:p w:rsidR="00B94C4F" w:rsidRPr="003A54AA" w:rsidRDefault="00B94C4F" w:rsidP="00185000">
      <w:pPr>
        <w:autoSpaceDE w:val="0"/>
        <w:autoSpaceDN w:val="0"/>
        <w:adjustRightInd w:val="0"/>
        <w:spacing w:after="0" w:line="240" w:lineRule="auto"/>
        <w:jc w:val="both"/>
        <w:rPr>
          <w:rFonts w:ascii="Tahoma" w:hAnsi="Tahoma" w:cs="Tahoma"/>
          <w:b/>
          <w:bCs/>
          <w:color w:val="FF0000"/>
          <w:sz w:val="24"/>
          <w:szCs w:val="24"/>
        </w:rPr>
      </w:pPr>
    </w:p>
    <w:p w:rsidR="00B94C4F" w:rsidRPr="003A54AA" w:rsidRDefault="00313304" w:rsidP="00185000">
      <w:pPr>
        <w:autoSpaceDE w:val="0"/>
        <w:autoSpaceDN w:val="0"/>
        <w:adjustRightInd w:val="0"/>
        <w:spacing w:after="0" w:line="240" w:lineRule="auto"/>
        <w:jc w:val="both"/>
        <w:rPr>
          <w:rFonts w:ascii="Tahoma" w:hAnsi="Tahoma" w:cs="Tahoma"/>
          <w:color w:val="FF0000"/>
          <w:sz w:val="24"/>
          <w:szCs w:val="24"/>
        </w:rPr>
      </w:pPr>
      <w:r w:rsidRPr="003A54AA">
        <w:rPr>
          <w:rFonts w:ascii="Tahoma" w:hAnsi="Tahoma" w:cs="Tahoma"/>
          <w:b/>
          <w:bCs/>
          <w:sz w:val="24"/>
          <w:szCs w:val="24"/>
        </w:rPr>
        <w:t>7</w:t>
      </w:r>
      <w:r w:rsidR="00B94C4F" w:rsidRPr="003A54AA">
        <w:rPr>
          <w:rFonts w:ascii="Tahoma" w:hAnsi="Tahoma" w:cs="Tahoma"/>
          <w:b/>
          <w:bCs/>
          <w:sz w:val="24"/>
          <w:szCs w:val="24"/>
        </w:rPr>
        <w:t xml:space="preserve">.12 </w:t>
      </w:r>
      <w:r w:rsidR="003F2672">
        <w:rPr>
          <w:rFonts w:ascii="Tahoma" w:hAnsi="Tahoma" w:cs="Tahoma"/>
          <w:b/>
          <w:bCs/>
          <w:sz w:val="24"/>
          <w:szCs w:val="24"/>
        </w:rPr>
        <w:tab/>
      </w:r>
      <w:r w:rsidR="00B94C4F" w:rsidRPr="003A54AA">
        <w:rPr>
          <w:rFonts w:ascii="Tahoma" w:hAnsi="Tahoma" w:cs="Tahoma"/>
          <w:sz w:val="24"/>
          <w:szCs w:val="24"/>
        </w:rPr>
        <w:t>Having estimated the number of jobs required, a further estimate can be made on the number of new jobs needed in eac</w:t>
      </w:r>
      <w:r w:rsidR="005F325A" w:rsidRPr="003A54AA">
        <w:rPr>
          <w:rFonts w:ascii="Tahoma" w:hAnsi="Tahoma" w:cs="Tahoma"/>
          <w:sz w:val="24"/>
          <w:szCs w:val="24"/>
        </w:rPr>
        <w:t>h main sector (manufacturing, construction and</w:t>
      </w:r>
      <w:r w:rsidR="00B94C4F" w:rsidRPr="003A54AA">
        <w:rPr>
          <w:rFonts w:ascii="Tahoma" w:hAnsi="Tahoma" w:cs="Tahoma"/>
          <w:sz w:val="24"/>
          <w:szCs w:val="24"/>
        </w:rPr>
        <w:t xml:space="preserve"> services) and how this can be translated into land requirements. The Census of Employment (DETI) indicates that the proportion of jobs in manufacturing in </w:t>
      </w:r>
      <w:r w:rsidR="00A364F8" w:rsidRPr="003A54AA">
        <w:rPr>
          <w:rFonts w:ascii="Tahoma" w:hAnsi="Tahoma" w:cs="Tahoma"/>
          <w:sz w:val="24"/>
          <w:szCs w:val="24"/>
        </w:rPr>
        <w:t xml:space="preserve">Newry, </w:t>
      </w:r>
      <w:proofErr w:type="spellStart"/>
      <w:r w:rsidR="00A364F8" w:rsidRPr="003A54AA">
        <w:rPr>
          <w:rFonts w:ascii="Tahoma" w:hAnsi="Tahoma" w:cs="Tahoma"/>
          <w:sz w:val="24"/>
          <w:szCs w:val="24"/>
        </w:rPr>
        <w:t>Mourne</w:t>
      </w:r>
      <w:proofErr w:type="spellEnd"/>
      <w:r w:rsidR="00A364F8" w:rsidRPr="003A54AA">
        <w:rPr>
          <w:rFonts w:ascii="Tahoma" w:hAnsi="Tahoma" w:cs="Tahoma"/>
          <w:sz w:val="24"/>
          <w:szCs w:val="24"/>
        </w:rPr>
        <w:t xml:space="preserve"> and </w:t>
      </w:r>
      <w:proofErr w:type="gramStart"/>
      <w:r w:rsidR="00A364F8" w:rsidRPr="003A54AA">
        <w:rPr>
          <w:rFonts w:ascii="Tahoma" w:hAnsi="Tahoma" w:cs="Tahoma"/>
          <w:sz w:val="24"/>
          <w:szCs w:val="24"/>
        </w:rPr>
        <w:t>Down  in</w:t>
      </w:r>
      <w:proofErr w:type="gramEnd"/>
      <w:r w:rsidR="00A364F8" w:rsidRPr="003A54AA">
        <w:rPr>
          <w:rFonts w:ascii="Tahoma" w:hAnsi="Tahoma" w:cs="Tahoma"/>
          <w:sz w:val="24"/>
          <w:szCs w:val="24"/>
        </w:rPr>
        <w:t xml:space="preserve"> 2013 was 11.8</w:t>
      </w:r>
      <w:r w:rsidR="00B94C4F" w:rsidRPr="003A54AA">
        <w:rPr>
          <w:rFonts w:ascii="Tahoma" w:hAnsi="Tahoma" w:cs="Tahoma"/>
          <w:sz w:val="24"/>
          <w:szCs w:val="24"/>
        </w:rPr>
        <w:t>% and j</w:t>
      </w:r>
      <w:r w:rsidR="00A364F8" w:rsidRPr="003A54AA">
        <w:rPr>
          <w:rFonts w:ascii="Tahoma" w:hAnsi="Tahoma" w:cs="Tahoma"/>
          <w:sz w:val="24"/>
          <w:szCs w:val="24"/>
        </w:rPr>
        <w:t>obs in services accounted for 79</w:t>
      </w:r>
      <w:r w:rsidR="00545425">
        <w:rPr>
          <w:rFonts w:ascii="Tahoma" w:hAnsi="Tahoma" w:cs="Tahoma"/>
          <w:sz w:val="24"/>
          <w:szCs w:val="24"/>
        </w:rPr>
        <w:t>.8</w:t>
      </w:r>
      <w:r w:rsidR="00CD2746" w:rsidRPr="003A54AA">
        <w:rPr>
          <w:rFonts w:ascii="Tahoma" w:hAnsi="Tahoma" w:cs="Tahoma"/>
          <w:sz w:val="24"/>
          <w:szCs w:val="24"/>
        </w:rPr>
        <w:t>% (Table 9</w:t>
      </w:r>
      <w:r w:rsidR="00B94C4F" w:rsidRPr="003A54AA">
        <w:rPr>
          <w:rFonts w:ascii="Tahoma" w:hAnsi="Tahoma" w:cs="Tahoma"/>
          <w:sz w:val="24"/>
          <w:szCs w:val="24"/>
        </w:rPr>
        <w:t>). How these proportions translate to</w:t>
      </w:r>
      <w:r w:rsidR="00F16515" w:rsidRPr="003A54AA">
        <w:rPr>
          <w:rFonts w:ascii="Tahoma" w:hAnsi="Tahoma" w:cs="Tahoma"/>
          <w:sz w:val="24"/>
          <w:szCs w:val="24"/>
        </w:rPr>
        <w:t xml:space="preserve"> the figures provided under Methods</w:t>
      </w:r>
      <w:r w:rsidR="00CD2746" w:rsidRPr="003A54AA">
        <w:rPr>
          <w:rFonts w:ascii="Tahoma" w:hAnsi="Tahoma" w:cs="Tahoma"/>
          <w:sz w:val="24"/>
          <w:szCs w:val="24"/>
        </w:rPr>
        <w:t xml:space="preserve"> 2 and 3 is set out in Table 10</w:t>
      </w:r>
      <w:r w:rsidR="00B94C4F" w:rsidRPr="003A54AA">
        <w:rPr>
          <w:rFonts w:ascii="Tahoma" w:hAnsi="Tahoma" w:cs="Tahoma"/>
          <w:sz w:val="24"/>
          <w:szCs w:val="24"/>
        </w:rPr>
        <w:t>. The remaining jobs will be in areas such as construction, forestry, fishing, mining, quarrying, electricity, gas and water supply.</w:t>
      </w:r>
    </w:p>
    <w:p w:rsidR="00AA6AD3" w:rsidRDefault="00AA6AD3" w:rsidP="00B94C4F">
      <w:pPr>
        <w:autoSpaceDE w:val="0"/>
        <w:autoSpaceDN w:val="0"/>
        <w:adjustRightInd w:val="0"/>
        <w:spacing w:after="0" w:line="240" w:lineRule="auto"/>
        <w:rPr>
          <w:rFonts w:ascii="Arial" w:hAnsi="Arial" w:cs="Arial"/>
          <w:color w:val="FF0000"/>
          <w:sz w:val="24"/>
          <w:szCs w:val="24"/>
        </w:rPr>
      </w:pPr>
    </w:p>
    <w:p w:rsidR="00AA6AD3" w:rsidRPr="003A54AA" w:rsidRDefault="00272208" w:rsidP="00AA6AD3">
      <w:pPr>
        <w:spacing w:after="0" w:line="240" w:lineRule="auto"/>
        <w:rPr>
          <w:rFonts w:ascii="Tahoma" w:eastAsia="Times New Roman" w:hAnsi="Tahoma" w:cs="Tahoma"/>
          <w:b/>
          <w:color w:val="000000"/>
          <w:sz w:val="24"/>
          <w:szCs w:val="24"/>
          <w:lang w:eastAsia="en-GB"/>
        </w:rPr>
      </w:pPr>
      <w:r w:rsidRPr="003A54AA">
        <w:rPr>
          <w:rFonts w:ascii="Tahoma" w:eastAsia="Times New Roman" w:hAnsi="Tahoma" w:cs="Tahoma"/>
          <w:b/>
          <w:color w:val="000000"/>
          <w:sz w:val="24"/>
          <w:szCs w:val="24"/>
          <w:lang w:eastAsia="en-GB"/>
        </w:rPr>
        <w:lastRenderedPageBreak/>
        <w:t>Table 9</w:t>
      </w:r>
      <w:r w:rsidR="00AA6AD3" w:rsidRPr="003A54AA">
        <w:rPr>
          <w:rFonts w:ascii="Tahoma" w:eastAsia="Times New Roman" w:hAnsi="Tahoma" w:cs="Tahoma"/>
          <w:b/>
          <w:color w:val="000000"/>
          <w:sz w:val="24"/>
          <w:szCs w:val="24"/>
          <w:lang w:eastAsia="en-GB"/>
        </w:rPr>
        <w:t xml:space="preserve"> Employee Jobs by Industry</w:t>
      </w:r>
      <w:r w:rsidR="005F325A" w:rsidRPr="003A54AA">
        <w:rPr>
          <w:rFonts w:ascii="Tahoma" w:eastAsia="Times New Roman" w:hAnsi="Tahoma" w:cs="Tahoma"/>
          <w:b/>
          <w:color w:val="000000"/>
          <w:sz w:val="24"/>
          <w:szCs w:val="24"/>
          <w:lang w:eastAsia="en-GB"/>
        </w:rPr>
        <w:t xml:space="preserve"> 2013</w:t>
      </w:r>
    </w:p>
    <w:p w:rsidR="00AA6AD3" w:rsidRDefault="00AA6AD3" w:rsidP="00B94C4F">
      <w:pPr>
        <w:autoSpaceDE w:val="0"/>
        <w:autoSpaceDN w:val="0"/>
        <w:adjustRightInd w:val="0"/>
        <w:spacing w:after="0" w:line="240" w:lineRule="auto"/>
        <w:rPr>
          <w:rFonts w:ascii="Arial" w:hAnsi="Arial" w:cs="Arial"/>
          <w:color w:val="FF0000"/>
          <w:sz w:val="24"/>
          <w:szCs w:val="24"/>
        </w:rPr>
      </w:pPr>
    </w:p>
    <w:tbl>
      <w:tblPr>
        <w:tblW w:w="9654" w:type="dxa"/>
        <w:tblInd w:w="93" w:type="dxa"/>
        <w:tblLook w:val="04A0" w:firstRow="1" w:lastRow="0" w:firstColumn="1" w:lastColumn="0" w:noHBand="0" w:noVBand="1"/>
      </w:tblPr>
      <w:tblGrid>
        <w:gridCol w:w="2000"/>
        <w:gridCol w:w="1559"/>
        <w:gridCol w:w="1985"/>
        <w:gridCol w:w="1842"/>
        <w:gridCol w:w="2268"/>
      </w:tblGrid>
      <w:tr w:rsidR="007A3920" w:rsidRPr="00AA6AD3" w:rsidTr="007A3920">
        <w:trPr>
          <w:trHeight w:val="600"/>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 </w:t>
            </w:r>
          </w:p>
        </w:tc>
        <w:tc>
          <w:tcPr>
            <w:tcW w:w="1559" w:type="dxa"/>
            <w:tcBorders>
              <w:top w:val="single" w:sz="4" w:space="0" w:color="auto"/>
              <w:left w:val="nil"/>
              <w:bottom w:val="single" w:sz="4" w:space="0" w:color="auto"/>
              <w:right w:val="single" w:sz="4" w:space="0" w:color="auto"/>
            </w:tcBorders>
            <w:shd w:val="clear" w:color="000000" w:fill="D9D9D9"/>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Total No of Jobs</w:t>
            </w:r>
          </w:p>
        </w:tc>
        <w:tc>
          <w:tcPr>
            <w:tcW w:w="1985" w:type="dxa"/>
            <w:tcBorders>
              <w:top w:val="single" w:sz="4" w:space="0" w:color="auto"/>
              <w:left w:val="nil"/>
              <w:bottom w:val="single" w:sz="4" w:space="0" w:color="auto"/>
              <w:right w:val="single" w:sz="4" w:space="0" w:color="auto"/>
            </w:tcBorders>
            <w:shd w:val="clear" w:color="000000" w:fill="D9D9D9"/>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 xml:space="preserve"> Jobs in Manufacturing (%)</w:t>
            </w:r>
          </w:p>
        </w:tc>
        <w:tc>
          <w:tcPr>
            <w:tcW w:w="1842" w:type="dxa"/>
            <w:tcBorders>
              <w:top w:val="single" w:sz="4" w:space="0" w:color="auto"/>
              <w:left w:val="nil"/>
              <w:bottom w:val="single" w:sz="4" w:space="0" w:color="auto"/>
              <w:right w:val="single" w:sz="4" w:space="0" w:color="auto"/>
            </w:tcBorders>
            <w:shd w:val="clear" w:color="000000" w:fill="D9D9D9"/>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Construction (%)</w:t>
            </w:r>
          </w:p>
        </w:tc>
        <w:tc>
          <w:tcPr>
            <w:tcW w:w="2268" w:type="dxa"/>
            <w:tcBorders>
              <w:top w:val="single" w:sz="4" w:space="0" w:color="auto"/>
              <w:left w:val="nil"/>
              <w:bottom w:val="single" w:sz="4" w:space="0" w:color="auto"/>
              <w:right w:val="single" w:sz="4" w:space="0" w:color="auto"/>
            </w:tcBorders>
            <w:shd w:val="clear" w:color="000000" w:fill="D9D9D9"/>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Services (%)</w:t>
            </w:r>
          </w:p>
        </w:tc>
      </w:tr>
      <w:tr w:rsidR="00AA6AD3" w:rsidRPr="00AA6AD3" w:rsidTr="007A3920">
        <w:trPr>
          <w:trHeight w:val="300"/>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 </w:t>
            </w:r>
          </w:p>
        </w:tc>
      </w:tr>
      <w:tr w:rsidR="00AA6AD3" w:rsidRPr="00AA6AD3" w:rsidTr="007A3920">
        <w:trPr>
          <w:trHeight w:val="300"/>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NI</w:t>
            </w:r>
          </w:p>
        </w:tc>
        <w:tc>
          <w:tcPr>
            <w:tcW w:w="1559"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jc w:val="right"/>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691,501</w:t>
            </w:r>
          </w:p>
        </w:tc>
        <w:tc>
          <w:tcPr>
            <w:tcW w:w="1985" w:type="dxa"/>
            <w:tcBorders>
              <w:top w:val="nil"/>
              <w:left w:val="nil"/>
              <w:bottom w:val="single" w:sz="4" w:space="0" w:color="auto"/>
              <w:right w:val="single" w:sz="4" w:space="0" w:color="auto"/>
            </w:tcBorders>
            <w:shd w:val="clear" w:color="auto" w:fill="auto"/>
            <w:noWrap/>
            <w:vAlign w:val="bottom"/>
            <w:hideMark/>
          </w:tcPr>
          <w:p w:rsidR="00AA6AD3" w:rsidRPr="00AA6AD3" w:rsidRDefault="00F16515" w:rsidP="00AA6AD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75031 (10.84</w:t>
            </w:r>
            <w:r w:rsidR="00AA6AD3" w:rsidRPr="00AA6AD3">
              <w:rPr>
                <w:rFonts w:ascii="Calibri" w:eastAsia="Times New Roman" w:hAnsi="Calibri" w:cs="Times New Roman"/>
                <w:color w:val="000000"/>
                <w:lang w:eastAsia="en-GB"/>
              </w:rPr>
              <w:t>%)</w:t>
            </w:r>
          </w:p>
        </w:tc>
        <w:tc>
          <w:tcPr>
            <w:tcW w:w="1842"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29382 (4.25%)</w:t>
            </w:r>
          </w:p>
        </w:tc>
        <w:tc>
          <w:tcPr>
            <w:tcW w:w="2268" w:type="dxa"/>
            <w:tcBorders>
              <w:top w:val="nil"/>
              <w:left w:val="nil"/>
              <w:bottom w:val="single" w:sz="4" w:space="0" w:color="auto"/>
              <w:right w:val="single" w:sz="4" w:space="0" w:color="auto"/>
            </w:tcBorders>
            <w:shd w:val="clear" w:color="auto" w:fill="auto"/>
            <w:noWrap/>
            <w:vAlign w:val="bottom"/>
            <w:hideMark/>
          </w:tcPr>
          <w:p w:rsidR="00AA6AD3" w:rsidRPr="00AA6AD3" w:rsidRDefault="00F16515" w:rsidP="00AA6AD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577,389 (83.45</w:t>
            </w:r>
            <w:r w:rsidR="00AA6AD3" w:rsidRPr="00AA6AD3">
              <w:rPr>
                <w:rFonts w:ascii="Calibri" w:eastAsia="Times New Roman" w:hAnsi="Calibri" w:cs="Times New Roman"/>
                <w:color w:val="000000"/>
                <w:lang w:eastAsia="en-GB"/>
              </w:rPr>
              <w:t>%)</w:t>
            </w:r>
          </w:p>
        </w:tc>
      </w:tr>
      <w:tr w:rsidR="00AA6AD3" w:rsidRPr="00AA6AD3" w:rsidTr="007A3920">
        <w:trPr>
          <w:trHeight w:val="300"/>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 xml:space="preserve">Newry &amp; </w:t>
            </w:r>
            <w:proofErr w:type="spellStart"/>
            <w:r w:rsidRPr="00AA6AD3">
              <w:rPr>
                <w:rFonts w:ascii="Calibri" w:eastAsia="Times New Roman" w:hAnsi="Calibri" w:cs="Times New Roman"/>
                <w:b/>
                <w:bCs/>
                <w:color w:val="000000"/>
                <w:lang w:eastAsia="en-GB"/>
              </w:rPr>
              <w:t>Mourne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jc w:val="right"/>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32,666</w:t>
            </w:r>
          </w:p>
        </w:tc>
        <w:tc>
          <w:tcPr>
            <w:tcW w:w="1985"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5042 (15.43%)</w:t>
            </w:r>
          </w:p>
        </w:tc>
        <w:tc>
          <w:tcPr>
            <w:tcW w:w="1842"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2036 (6.23%)</w:t>
            </w:r>
          </w:p>
        </w:tc>
        <w:tc>
          <w:tcPr>
            <w:tcW w:w="2268" w:type="dxa"/>
            <w:tcBorders>
              <w:top w:val="nil"/>
              <w:left w:val="nil"/>
              <w:bottom w:val="single" w:sz="4" w:space="0" w:color="auto"/>
              <w:right w:val="single" w:sz="4" w:space="0" w:color="auto"/>
            </w:tcBorders>
            <w:shd w:val="clear" w:color="auto" w:fill="auto"/>
            <w:noWrap/>
            <w:vAlign w:val="bottom"/>
            <w:hideMark/>
          </w:tcPr>
          <w:p w:rsidR="00AA6AD3" w:rsidRPr="00AA6AD3" w:rsidRDefault="00F16515" w:rsidP="00AA6AD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24732 (75.70</w:t>
            </w:r>
            <w:r w:rsidR="00AA6AD3" w:rsidRPr="00AA6AD3">
              <w:rPr>
                <w:rFonts w:ascii="Calibri" w:eastAsia="Times New Roman" w:hAnsi="Calibri" w:cs="Times New Roman"/>
                <w:color w:val="000000"/>
                <w:lang w:eastAsia="en-GB"/>
              </w:rPr>
              <w:t>%)</w:t>
            </w:r>
          </w:p>
        </w:tc>
      </w:tr>
      <w:tr w:rsidR="00AA6AD3" w:rsidRPr="00AA6AD3" w:rsidTr="001D76BD">
        <w:trPr>
          <w:trHeight w:val="300"/>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rsidR="00AA6AD3" w:rsidRPr="00AA6AD3" w:rsidRDefault="00AA6AD3" w:rsidP="00AA6AD3">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Down</w:t>
            </w:r>
          </w:p>
        </w:tc>
        <w:tc>
          <w:tcPr>
            <w:tcW w:w="1559"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jc w:val="right"/>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18,297</w:t>
            </w:r>
          </w:p>
        </w:tc>
        <w:tc>
          <w:tcPr>
            <w:tcW w:w="1985"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991 (5.42%)</w:t>
            </w:r>
          </w:p>
        </w:tc>
        <w:tc>
          <w:tcPr>
            <w:tcW w:w="1842" w:type="dxa"/>
            <w:tcBorders>
              <w:top w:val="nil"/>
              <w:left w:val="nil"/>
              <w:bottom w:val="single" w:sz="4" w:space="0" w:color="auto"/>
              <w:right w:val="single" w:sz="4" w:space="0" w:color="auto"/>
            </w:tcBorders>
            <w:shd w:val="clear" w:color="auto" w:fill="auto"/>
            <w:noWrap/>
            <w:vAlign w:val="bottom"/>
            <w:hideMark/>
          </w:tcPr>
          <w:p w:rsidR="00AA6AD3" w:rsidRPr="00AA6AD3" w:rsidRDefault="00AA6AD3" w:rsidP="00AA6AD3">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1043 (5.70%)</w:t>
            </w:r>
          </w:p>
        </w:tc>
        <w:tc>
          <w:tcPr>
            <w:tcW w:w="2268" w:type="dxa"/>
            <w:tcBorders>
              <w:top w:val="nil"/>
              <w:left w:val="nil"/>
              <w:bottom w:val="single" w:sz="4" w:space="0" w:color="auto"/>
              <w:right w:val="single" w:sz="4" w:space="0" w:color="auto"/>
            </w:tcBorders>
            <w:shd w:val="clear" w:color="auto" w:fill="auto"/>
            <w:noWrap/>
            <w:vAlign w:val="bottom"/>
            <w:hideMark/>
          </w:tcPr>
          <w:p w:rsidR="00AA6AD3" w:rsidRPr="00AA6AD3" w:rsidRDefault="00F16515" w:rsidP="00AA6AD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15976 (87.30</w:t>
            </w:r>
            <w:r w:rsidR="00AA6AD3" w:rsidRPr="00AA6AD3">
              <w:rPr>
                <w:rFonts w:ascii="Calibri" w:eastAsia="Times New Roman" w:hAnsi="Calibri" w:cs="Times New Roman"/>
                <w:color w:val="000000"/>
                <w:lang w:eastAsia="en-GB"/>
              </w:rPr>
              <w:t>%)</w:t>
            </w:r>
          </w:p>
        </w:tc>
      </w:tr>
      <w:tr w:rsidR="001D76BD" w:rsidRPr="00AA6AD3" w:rsidTr="001D76BD">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1D76BD" w:rsidRPr="00AA6AD3" w:rsidRDefault="001D76BD" w:rsidP="001C23FA">
            <w:pPr>
              <w:spacing w:after="0" w:line="240" w:lineRule="auto"/>
              <w:rPr>
                <w:rFonts w:ascii="Calibri" w:eastAsia="Times New Roman" w:hAnsi="Calibri" w:cs="Times New Roman"/>
                <w:b/>
                <w:bCs/>
                <w:color w:val="000000"/>
                <w:lang w:eastAsia="en-GB"/>
              </w:rPr>
            </w:pPr>
            <w:r w:rsidRPr="00AA6AD3">
              <w:rPr>
                <w:rFonts w:ascii="Calibri" w:eastAsia="Times New Roman" w:hAnsi="Calibri" w:cs="Times New Roman"/>
                <w:b/>
                <w:bCs/>
                <w:color w:val="000000"/>
                <w:lang w:eastAsia="en-GB"/>
              </w:rPr>
              <w:t>NMD</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D76BD" w:rsidRPr="00AA6AD3" w:rsidRDefault="001D76BD" w:rsidP="001C23FA">
            <w:pPr>
              <w:spacing w:after="0" w:line="240" w:lineRule="auto"/>
              <w:jc w:val="right"/>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50,963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1D76BD" w:rsidRPr="00AA6AD3" w:rsidRDefault="001D76BD" w:rsidP="001C23FA">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6033 (11.84%)</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1D76BD" w:rsidRPr="00AA6AD3" w:rsidRDefault="001D76BD" w:rsidP="001C23FA">
            <w:pPr>
              <w:spacing w:after="0" w:line="240" w:lineRule="auto"/>
              <w:rPr>
                <w:rFonts w:ascii="Calibri" w:eastAsia="Times New Roman" w:hAnsi="Calibri" w:cs="Times New Roman"/>
                <w:color w:val="000000"/>
                <w:lang w:eastAsia="en-GB"/>
              </w:rPr>
            </w:pPr>
            <w:r w:rsidRPr="00AA6AD3">
              <w:rPr>
                <w:rFonts w:ascii="Calibri" w:eastAsia="Times New Roman" w:hAnsi="Calibri" w:cs="Times New Roman"/>
                <w:color w:val="000000"/>
                <w:lang w:eastAsia="en-GB"/>
              </w:rPr>
              <w:t>3079(6.04%)</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D76BD" w:rsidRPr="00AA6AD3" w:rsidRDefault="00F16515" w:rsidP="001C23F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40,708 (79.87</w:t>
            </w:r>
            <w:r w:rsidR="001D76BD" w:rsidRPr="00AA6AD3">
              <w:rPr>
                <w:rFonts w:ascii="Calibri" w:eastAsia="Times New Roman" w:hAnsi="Calibri" w:cs="Times New Roman"/>
                <w:color w:val="000000"/>
                <w:lang w:eastAsia="en-GB"/>
              </w:rPr>
              <w:t>%)</w:t>
            </w:r>
          </w:p>
        </w:tc>
      </w:tr>
    </w:tbl>
    <w:p w:rsidR="00BF35E0" w:rsidRDefault="00BF35E0" w:rsidP="00B94C4F">
      <w:pPr>
        <w:autoSpaceDE w:val="0"/>
        <w:autoSpaceDN w:val="0"/>
        <w:adjustRightInd w:val="0"/>
        <w:spacing w:after="0" w:line="240" w:lineRule="auto"/>
        <w:rPr>
          <w:rFonts w:ascii="Arial" w:hAnsi="Arial" w:cs="Arial"/>
          <w:color w:val="FF0000"/>
          <w:sz w:val="24"/>
          <w:szCs w:val="24"/>
        </w:rPr>
      </w:pPr>
    </w:p>
    <w:p w:rsidR="005F325A" w:rsidRPr="0034055B" w:rsidRDefault="00202FF7" w:rsidP="00B94C4F">
      <w:pPr>
        <w:autoSpaceDE w:val="0"/>
        <w:autoSpaceDN w:val="0"/>
        <w:adjustRightInd w:val="0"/>
        <w:spacing w:after="0" w:line="240" w:lineRule="auto"/>
        <w:rPr>
          <w:rFonts w:ascii="Arial" w:hAnsi="Arial" w:cs="Arial"/>
          <w:sz w:val="18"/>
          <w:szCs w:val="18"/>
        </w:rPr>
      </w:pPr>
      <w:r w:rsidRPr="0034055B">
        <w:rPr>
          <w:rFonts w:ascii="Arial" w:hAnsi="Arial" w:cs="Arial"/>
          <w:sz w:val="18"/>
          <w:szCs w:val="18"/>
        </w:rPr>
        <w:t xml:space="preserve">Source: DETI </w:t>
      </w:r>
      <w:r w:rsidR="005F325A" w:rsidRPr="0034055B">
        <w:rPr>
          <w:rFonts w:ascii="Arial" w:hAnsi="Arial" w:cs="Arial"/>
          <w:sz w:val="18"/>
          <w:szCs w:val="18"/>
        </w:rPr>
        <w:t xml:space="preserve">Census </w:t>
      </w:r>
      <w:r w:rsidRPr="0034055B">
        <w:rPr>
          <w:rFonts w:ascii="Arial" w:hAnsi="Arial" w:cs="Arial"/>
          <w:sz w:val="18"/>
          <w:szCs w:val="18"/>
        </w:rPr>
        <w:t>of Employment 2013</w:t>
      </w:r>
    </w:p>
    <w:p w:rsidR="00202FF7" w:rsidRPr="0034055B" w:rsidRDefault="00202FF7" w:rsidP="00B94C4F">
      <w:pPr>
        <w:autoSpaceDE w:val="0"/>
        <w:autoSpaceDN w:val="0"/>
        <w:adjustRightInd w:val="0"/>
        <w:spacing w:after="0" w:line="240" w:lineRule="auto"/>
        <w:rPr>
          <w:rFonts w:ascii="Arial" w:hAnsi="Arial" w:cs="Arial"/>
          <w:sz w:val="18"/>
          <w:szCs w:val="18"/>
        </w:rPr>
      </w:pPr>
      <w:r w:rsidRPr="0034055B">
        <w:rPr>
          <w:rFonts w:ascii="Arial" w:hAnsi="Arial" w:cs="Arial"/>
          <w:sz w:val="18"/>
          <w:szCs w:val="18"/>
        </w:rPr>
        <w:t>http://www.detini.gov.uk/stats-census-of-employment</w:t>
      </w:r>
    </w:p>
    <w:p w:rsidR="005F325A" w:rsidRDefault="005F325A" w:rsidP="00B94C4F">
      <w:pPr>
        <w:autoSpaceDE w:val="0"/>
        <w:autoSpaceDN w:val="0"/>
        <w:adjustRightInd w:val="0"/>
        <w:spacing w:after="0" w:line="240" w:lineRule="auto"/>
        <w:rPr>
          <w:rFonts w:ascii="Arial" w:hAnsi="Arial" w:cs="Arial"/>
          <w:color w:val="FF0000"/>
          <w:sz w:val="24"/>
          <w:szCs w:val="24"/>
        </w:rPr>
      </w:pPr>
    </w:p>
    <w:p w:rsidR="00B5079C" w:rsidRDefault="00B5079C" w:rsidP="00AA6AD3">
      <w:pPr>
        <w:spacing w:after="0" w:line="240" w:lineRule="auto"/>
        <w:rPr>
          <w:rFonts w:ascii="Arial" w:eastAsia="Times New Roman" w:hAnsi="Arial" w:cs="Arial"/>
          <w:b/>
          <w:color w:val="000000"/>
          <w:sz w:val="24"/>
          <w:szCs w:val="24"/>
          <w:lang w:eastAsia="en-GB"/>
        </w:rPr>
      </w:pPr>
    </w:p>
    <w:p w:rsidR="00AA6AD3" w:rsidRPr="003A54AA" w:rsidRDefault="00272208" w:rsidP="00AA6AD3">
      <w:pPr>
        <w:spacing w:after="0" w:line="240" w:lineRule="auto"/>
        <w:rPr>
          <w:rFonts w:ascii="Tahoma" w:eastAsia="Times New Roman" w:hAnsi="Tahoma" w:cs="Tahoma"/>
          <w:b/>
          <w:color w:val="000000"/>
          <w:sz w:val="24"/>
          <w:szCs w:val="24"/>
          <w:lang w:eastAsia="en-GB"/>
        </w:rPr>
      </w:pPr>
      <w:r w:rsidRPr="003A54AA">
        <w:rPr>
          <w:rFonts w:ascii="Tahoma" w:eastAsia="Times New Roman" w:hAnsi="Tahoma" w:cs="Tahoma"/>
          <w:b/>
          <w:color w:val="000000"/>
          <w:sz w:val="24"/>
          <w:szCs w:val="24"/>
          <w:lang w:eastAsia="en-GB"/>
        </w:rPr>
        <w:t>Table 10</w:t>
      </w:r>
      <w:r w:rsidR="00AA6AD3" w:rsidRPr="003A54AA">
        <w:rPr>
          <w:rFonts w:ascii="Tahoma" w:eastAsia="Times New Roman" w:hAnsi="Tahoma" w:cs="Tahoma"/>
          <w:b/>
          <w:color w:val="000000"/>
          <w:sz w:val="24"/>
          <w:szCs w:val="24"/>
          <w:lang w:eastAsia="en-GB"/>
        </w:rPr>
        <w:t xml:space="preserve"> </w:t>
      </w:r>
      <w:r w:rsidR="00BF35E0" w:rsidRPr="003A54AA">
        <w:rPr>
          <w:rFonts w:ascii="Tahoma" w:eastAsia="Times New Roman" w:hAnsi="Tahoma" w:cs="Tahoma"/>
          <w:b/>
          <w:color w:val="000000"/>
          <w:sz w:val="24"/>
          <w:szCs w:val="24"/>
          <w:lang w:eastAsia="en-GB"/>
        </w:rPr>
        <w:t>Jobs required by 2030 projected by NMD industrial makeup (%) 2011</w:t>
      </w:r>
    </w:p>
    <w:p w:rsidR="00AA6AD3" w:rsidRDefault="00AA6AD3" w:rsidP="00B94C4F">
      <w:pPr>
        <w:autoSpaceDE w:val="0"/>
        <w:autoSpaceDN w:val="0"/>
        <w:adjustRightInd w:val="0"/>
        <w:spacing w:after="0" w:line="240" w:lineRule="auto"/>
        <w:rPr>
          <w:rFonts w:ascii="Arial" w:hAnsi="Arial" w:cs="Arial"/>
          <w:color w:val="FF0000"/>
          <w:sz w:val="24"/>
          <w:szCs w:val="24"/>
        </w:rPr>
      </w:pPr>
    </w:p>
    <w:tbl>
      <w:tblPr>
        <w:tblW w:w="9654" w:type="dxa"/>
        <w:tblInd w:w="93" w:type="dxa"/>
        <w:tblLook w:val="04A0" w:firstRow="1" w:lastRow="0" w:firstColumn="1" w:lastColumn="0" w:noHBand="0" w:noVBand="1"/>
      </w:tblPr>
      <w:tblGrid>
        <w:gridCol w:w="1780"/>
        <w:gridCol w:w="1212"/>
        <w:gridCol w:w="1843"/>
        <w:gridCol w:w="1984"/>
        <w:gridCol w:w="1560"/>
        <w:gridCol w:w="1275"/>
      </w:tblGrid>
      <w:tr w:rsidR="007A3920" w:rsidRPr="007A3920" w:rsidTr="007A3920">
        <w:trPr>
          <w:trHeight w:val="900"/>
        </w:trPr>
        <w:tc>
          <w:tcPr>
            <w:tcW w:w="1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 </w:t>
            </w:r>
          </w:p>
        </w:tc>
        <w:tc>
          <w:tcPr>
            <w:tcW w:w="1212" w:type="dxa"/>
            <w:tcBorders>
              <w:top w:val="single" w:sz="4" w:space="0" w:color="auto"/>
              <w:left w:val="nil"/>
              <w:bottom w:val="single" w:sz="4" w:space="0" w:color="auto"/>
              <w:right w:val="single" w:sz="4" w:space="0" w:color="auto"/>
            </w:tcBorders>
            <w:shd w:val="clear" w:color="000000" w:fill="D9D9D9"/>
            <w:noWrap/>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Total No of Jobs</w:t>
            </w:r>
            <w:r w:rsidR="00735406">
              <w:rPr>
                <w:rFonts w:ascii="Calibri" w:eastAsia="Times New Roman" w:hAnsi="Calibri" w:cs="Times New Roman"/>
                <w:b/>
                <w:bCs/>
                <w:color w:val="000000"/>
                <w:lang w:eastAsia="en-GB"/>
              </w:rPr>
              <w:t xml:space="preserve"> required to 2030</w:t>
            </w:r>
            <w:r w:rsidR="00FC104B">
              <w:rPr>
                <w:rFonts w:ascii="Calibri" w:eastAsia="Times New Roman" w:hAnsi="Calibri" w:cs="Times New Roman"/>
                <w:b/>
                <w:bCs/>
                <w:color w:val="000000"/>
                <w:lang w:eastAsia="en-GB"/>
              </w:rPr>
              <w:t xml:space="preserve"> </w:t>
            </w:r>
          </w:p>
        </w:tc>
        <w:tc>
          <w:tcPr>
            <w:tcW w:w="1843" w:type="dxa"/>
            <w:tcBorders>
              <w:top w:val="single" w:sz="4" w:space="0" w:color="auto"/>
              <w:left w:val="nil"/>
              <w:bottom w:val="single" w:sz="4" w:space="0" w:color="auto"/>
              <w:right w:val="single" w:sz="4" w:space="0" w:color="auto"/>
            </w:tcBorders>
            <w:shd w:val="clear" w:color="000000" w:fill="D9D9D9"/>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Percentage and Total No Jobs in Manufacturing</w:t>
            </w:r>
          </w:p>
        </w:tc>
        <w:tc>
          <w:tcPr>
            <w:tcW w:w="1984" w:type="dxa"/>
            <w:tcBorders>
              <w:top w:val="single" w:sz="4" w:space="0" w:color="auto"/>
              <w:left w:val="nil"/>
              <w:bottom w:val="single" w:sz="4" w:space="0" w:color="auto"/>
              <w:right w:val="single" w:sz="4" w:space="0" w:color="auto"/>
            </w:tcBorders>
            <w:shd w:val="clear" w:color="000000" w:fill="D9D9D9"/>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Percentage and Total No Jobs in Construction</w:t>
            </w:r>
          </w:p>
        </w:tc>
        <w:tc>
          <w:tcPr>
            <w:tcW w:w="1560" w:type="dxa"/>
            <w:tcBorders>
              <w:top w:val="single" w:sz="4" w:space="0" w:color="auto"/>
              <w:left w:val="nil"/>
              <w:bottom w:val="single" w:sz="4" w:space="0" w:color="auto"/>
              <w:right w:val="single" w:sz="4" w:space="0" w:color="auto"/>
            </w:tcBorders>
            <w:shd w:val="clear" w:color="000000" w:fill="D9D9D9"/>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 xml:space="preserve">Percentage and Total No Jobs in Services </w:t>
            </w:r>
          </w:p>
        </w:tc>
        <w:tc>
          <w:tcPr>
            <w:tcW w:w="1275" w:type="dxa"/>
            <w:tcBorders>
              <w:top w:val="single" w:sz="4" w:space="0" w:color="auto"/>
              <w:left w:val="nil"/>
              <w:bottom w:val="single" w:sz="4" w:space="0" w:color="auto"/>
              <w:right w:val="single" w:sz="4" w:space="0" w:color="auto"/>
            </w:tcBorders>
            <w:shd w:val="clear" w:color="000000" w:fill="D9D9D9"/>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Other Jobs (%)</w:t>
            </w:r>
          </w:p>
        </w:tc>
      </w:tr>
      <w:tr w:rsidR="007A3920" w:rsidRPr="007A3920" w:rsidTr="007A3920">
        <w:trPr>
          <w:trHeight w:val="600"/>
        </w:trPr>
        <w:tc>
          <w:tcPr>
            <w:tcW w:w="1780" w:type="dxa"/>
            <w:tcBorders>
              <w:top w:val="nil"/>
              <w:left w:val="single" w:sz="4" w:space="0" w:color="auto"/>
              <w:bottom w:val="single" w:sz="4" w:space="0" w:color="auto"/>
              <w:right w:val="single" w:sz="4" w:space="0" w:color="auto"/>
            </w:tcBorders>
            <w:shd w:val="clear" w:color="000000" w:fill="D9D9D9"/>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NMD Industrial Makeup (2011%)</w:t>
            </w:r>
          </w:p>
        </w:tc>
        <w:tc>
          <w:tcPr>
            <w:tcW w:w="1212" w:type="dxa"/>
            <w:tcBorders>
              <w:top w:val="nil"/>
              <w:left w:val="nil"/>
              <w:bottom w:val="single" w:sz="4" w:space="0" w:color="auto"/>
              <w:right w:val="single" w:sz="4" w:space="0" w:color="auto"/>
            </w:tcBorders>
            <w:shd w:val="clear" w:color="000000" w:fill="FFFFFF"/>
            <w:noWrap/>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 </w:t>
            </w:r>
          </w:p>
        </w:tc>
        <w:tc>
          <w:tcPr>
            <w:tcW w:w="1843" w:type="dxa"/>
            <w:tcBorders>
              <w:top w:val="nil"/>
              <w:left w:val="nil"/>
              <w:bottom w:val="single" w:sz="4" w:space="0" w:color="auto"/>
              <w:right w:val="single" w:sz="4" w:space="0" w:color="auto"/>
            </w:tcBorders>
            <w:shd w:val="clear" w:color="000000" w:fill="FFFFFF"/>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11.84%</w:t>
            </w:r>
          </w:p>
        </w:tc>
        <w:tc>
          <w:tcPr>
            <w:tcW w:w="1984" w:type="dxa"/>
            <w:tcBorders>
              <w:top w:val="nil"/>
              <w:left w:val="nil"/>
              <w:bottom w:val="single" w:sz="4" w:space="0" w:color="auto"/>
              <w:right w:val="single" w:sz="4" w:space="0" w:color="auto"/>
            </w:tcBorders>
            <w:shd w:val="clear" w:color="000000" w:fill="FFFFFF"/>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6.04%</w:t>
            </w:r>
          </w:p>
        </w:tc>
        <w:tc>
          <w:tcPr>
            <w:tcW w:w="1560" w:type="dxa"/>
            <w:tcBorders>
              <w:top w:val="nil"/>
              <w:left w:val="nil"/>
              <w:bottom w:val="single" w:sz="4" w:space="0" w:color="auto"/>
              <w:right w:val="single" w:sz="4" w:space="0" w:color="auto"/>
            </w:tcBorders>
            <w:shd w:val="clear" w:color="000000" w:fill="FFFFFF"/>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79.87%</w:t>
            </w:r>
          </w:p>
        </w:tc>
        <w:tc>
          <w:tcPr>
            <w:tcW w:w="1275"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2.25%</w:t>
            </w:r>
          </w:p>
        </w:tc>
      </w:tr>
      <w:tr w:rsidR="007A3920" w:rsidRPr="007A3920" w:rsidTr="007A3920">
        <w:trPr>
          <w:trHeight w:val="300"/>
        </w:trPr>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Model 2</w:t>
            </w:r>
          </w:p>
        </w:tc>
        <w:tc>
          <w:tcPr>
            <w:tcW w:w="1212"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9,066</w:t>
            </w:r>
          </w:p>
        </w:tc>
        <w:tc>
          <w:tcPr>
            <w:tcW w:w="1843"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lang w:eastAsia="en-GB"/>
              </w:rPr>
            </w:pPr>
            <w:r w:rsidRPr="007A3920">
              <w:rPr>
                <w:rFonts w:ascii="Calibri" w:eastAsia="Times New Roman" w:hAnsi="Calibri" w:cs="Times New Roman"/>
                <w:lang w:eastAsia="en-GB"/>
              </w:rPr>
              <w:t>1,073</w:t>
            </w:r>
          </w:p>
        </w:tc>
        <w:tc>
          <w:tcPr>
            <w:tcW w:w="1984"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547</w:t>
            </w:r>
          </w:p>
        </w:tc>
        <w:tc>
          <w:tcPr>
            <w:tcW w:w="1560"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lang w:eastAsia="en-GB"/>
              </w:rPr>
            </w:pPr>
            <w:r w:rsidRPr="007A3920">
              <w:rPr>
                <w:rFonts w:ascii="Calibri" w:eastAsia="Times New Roman" w:hAnsi="Calibri" w:cs="Times New Roman"/>
                <w:lang w:eastAsia="en-GB"/>
              </w:rPr>
              <w:t>7,242</w:t>
            </w:r>
          </w:p>
        </w:tc>
        <w:tc>
          <w:tcPr>
            <w:tcW w:w="1275" w:type="dxa"/>
            <w:tcBorders>
              <w:top w:val="nil"/>
              <w:left w:val="nil"/>
              <w:bottom w:val="single" w:sz="4" w:space="0" w:color="auto"/>
              <w:right w:val="single" w:sz="4" w:space="0" w:color="auto"/>
            </w:tcBorders>
            <w:shd w:val="clear" w:color="auto" w:fill="auto"/>
            <w:noWrap/>
            <w:vAlign w:val="bottom"/>
            <w:hideMark/>
          </w:tcPr>
          <w:p w:rsidR="007A3920" w:rsidRPr="007A3920" w:rsidRDefault="007A3920" w:rsidP="007A3920">
            <w:pPr>
              <w:spacing w:after="0" w:line="240" w:lineRule="auto"/>
              <w:jc w:val="right"/>
              <w:rPr>
                <w:rFonts w:ascii="Calibri" w:eastAsia="Times New Roman" w:hAnsi="Calibri" w:cs="Times New Roman"/>
                <w:color w:val="000000"/>
                <w:lang w:eastAsia="en-GB"/>
              </w:rPr>
            </w:pPr>
            <w:r w:rsidRPr="007A3920">
              <w:rPr>
                <w:rFonts w:ascii="Calibri" w:eastAsia="Times New Roman" w:hAnsi="Calibri" w:cs="Times New Roman"/>
                <w:color w:val="000000"/>
                <w:lang w:eastAsia="en-GB"/>
              </w:rPr>
              <w:t>204</w:t>
            </w:r>
          </w:p>
        </w:tc>
      </w:tr>
      <w:tr w:rsidR="007A3920" w:rsidRPr="007A3920" w:rsidTr="007A3920">
        <w:trPr>
          <w:trHeight w:val="300"/>
        </w:trPr>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rsidR="007A3920" w:rsidRPr="007A3920" w:rsidRDefault="007A3920" w:rsidP="007A3920">
            <w:pPr>
              <w:spacing w:after="0" w:line="240" w:lineRule="auto"/>
              <w:rPr>
                <w:rFonts w:ascii="Calibri" w:eastAsia="Times New Roman" w:hAnsi="Calibri" w:cs="Times New Roman"/>
                <w:b/>
                <w:bCs/>
                <w:color w:val="000000"/>
                <w:lang w:eastAsia="en-GB"/>
              </w:rPr>
            </w:pPr>
            <w:r w:rsidRPr="007A3920">
              <w:rPr>
                <w:rFonts w:ascii="Calibri" w:eastAsia="Times New Roman" w:hAnsi="Calibri" w:cs="Times New Roman"/>
                <w:b/>
                <w:bCs/>
                <w:color w:val="000000"/>
                <w:lang w:eastAsia="en-GB"/>
              </w:rPr>
              <w:t>Model 3</w:t>
            </w:r>
          </w:p>
        </w:tc>
        <w:tc>
          <w:tcPr>
            <w:tcW w:w="1212" w:type="dxa"/>
            <w:tcBorders>
              <w:top w:val="nil"/>
              <w:left w:val="nil"/>
              <w:bottom w:val="single" w:sz="4" w:space="0" w:color="auto"/>
              <w:right w:val="single" w:sz="4" w:space="0" w:color="auto"/>
            </w:tcBorders>
            <w:shd w:val="clear" w:color="auto" w:fill="auto"/>
            <w:noWrap/>
            <w:vAlign w:val="bottom"/>
            <w:hideMark/>
          </w:tcPr>
          <w:p w:rsidR="007A3920" w:rsidRPr="007A3920" w:rsidRDefault="00F16515" w:rsidP="007A3920">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9,213</w:t>
            </w:r>
          </w:p>
        </w:tc>
        <w:tc>
          <w:tcPr>
            <w:tcW w:w="1843" w:type="dxa"/>
            <w:tcBorders>
              <w:top w:val="nil"/>
              <w:left w:val="nil"/>
              <w:bottom w:val="single" w:sz="4" w:space="0" w:color="auto"/>
              <w:right w:val="single" w:sz="4" w:space="0" w:color="auto"/>
            </w:tcBorders>
            <w:shd w:val="clear" w:color="auto" w:fill="auto"/>
            <w:noWrap/>
            <w:vAlign w:val="bottom"/>
            <w:hideMark/>
          </w:tcPr>
          <w:p w:rsidR="007A3920" w:rsidRPr="007A3920" w:rsidRDefault="00F16515" w:rsidP="007A3920">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1,091</w:t>
            </w:r>
          </w:p>
        </w:tc>
        <w:tc>
          <w:tcPr>
            <w:tcW w:w="1984" w:type="dxa"/>
            <w:tcBorders>
              <w:top w:val="nil"/>
              <w:left w:val="nil"/>
              <w:bottom w:val="single" w:sz="4" w:space="0" w:color="auto"/>
              <w:right w:val="single" w:sz="4" w:space="0" w:color="auto"/>
            </w:tcBorders>
            <w:shd w:val="clear" w:color="auto" w:fill="auto"/>
            <w:noWrap/>
            <w:vAlign w:val="bottom"/>
            <w:hideMark/>
          </w:tcPr>
          <w:p w:rsidR="007A3920" w:rsidRPr="007A3920" w:rsidRDefault="00F16515" w:rsidP="007A3920">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557</w:t>
            </w:r>
          </w:p>
        </w:tc>
        <w:tc>
          <w:tcPr>
            <w:tcW w:w="1560" w:type="dxa"/>
            <w:tcBorders>
              <w:top w:val="nil"/>
              <w:left w:val="nil"/>
              <w:bottom w:val="single" w:sz="4" w:space="0" w:color="auto"/>
              <w:right w:val="single" w:sz="4" w:space="0" w:color="auto"/>
            </w:tcBorders>
            <w:shd w:val="clear" w:color="auto" w:fill="auto"/>
            <w:noWrap/>
            <w:vAlign w:val="bottom"/>
            <w:hideMark/>
          </w:tcPr>
          <w:p w:rsidR="007A3920" w:rsidRPr="007A3920" w:rsidRDefault="00F16515" w:rsidP="007A3920">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7,358</w:t>
            </w:r>
          </w:p>
        </w:tc>
        <w:tc>
          <w:tcPr>
            <w:tcW w:w="1275" w:type="dxa"/>
            <w:tcBorders>
              <w:top w:val="nil"/>
              <w:left w:val="nil"/>
              <w:bottom w:val="single" w:sz="4" w:space="0" w:color="auto"/>
              <w:right w:val="single" w:sz="4" w:space="0" w:color="auto"/>
            </w:tcBorders>
            <w:shd w:val="clear" w:color="auto" w:fill="auto"/>
            <w:noWrap/>
            <w:vAlign w:val="bottom"/>
            <w:hideMark/>
          </w:tcPr>
          <w:p w:rsidR="007A3920" w:rsidRPr="007A3920" w:rsidRDefault="00F16515" w:rsidP="007A3920">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207</w:t>
            </w:r>
          </w:p>
        </w:tc>
      </w:tr>
    </w:tbl>
    <w:p w:rsidR="00482EB1" w:rsidRDefault="00482EB1" w:rsidP="005E10F4">
      <w:pPr>
        <w:autoSpaceDE w:val="0"/>
        <w:autoSpaceDN w:val="0"/>
        <w:adjustRightInd w:val="0"/>
        <w:spacing w:after="0" w:line="240" w:lineRule="auto"/>
        <w:rPr>
          <w:rFonts w:ascii="Arial" w:hAnsi="Arial" w:cs="Arial"/>
          <w:b/>
          <w:bCs/>
          <w:sz w:val="24"/>
          <w:szCs w:val="24"/>
        </w:rPr>
      </w:pPr>
    </w:p>
    <w:p w:rsidR="00482EB1" w:rsidRDefault="00482EB1" w:rsidP="005E10F4">
      <w:pPr>
        <w:autoSpaceDE w:val="0"/>
        <w:autoSpaceDN w:val="0"/>
        <w:adjustRightInd w:val="0"/>
        <w:spacing w:after="0" w:line="240" w:lineRule="auto"/>
        <w:rPr>
          <w:rFonts w:ascii="Arial" w:hAnsi="Arial" w:cs="Arial"/>
          <w:b/>
          <w:bCs/>
          <w:sz w:val="24"/>
          <w:szCs w:val="24"/>
        </w:rPr>
      </w:pPr>
    </w:p>
    <w:p w:rsidR="005E10F4"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5E10F4" w:rsidRPr="003A54AA">
        <w:rPr>
          <w:rFonts w:ascii="Tahoma" w:hAnsi="Tahoma" w:cs="Tahoma"/>
          <w:b/>
          <w:bCs/>
          <w:sz w:val="24"/>
          <w:szCs w:val="24"/>
        </w:rPr>
        <w:t xml:space="preserve">.13 </w:t>
      </w:r>
      <w:r w:rsidR="003F2672">
        <w:rPr>
          <w:rFonts w:ascii="Tahoma" w:hAnsi="Tahoma" w:cs="Tahoma"/>
          <w:b/>
          <w:bCs/>
          <w:sz w:val="24"/>
          <w:szCs w:val="24"/>
        </w:rPr>
        <w:tab/>
      </w:r>
      <w:r w:rsidR="005E10F4" w:rsidRPr="003A54AA">
        <w:rPr>
          <w:rFonts w:ascii="Tahoma" w:hAnsi="Tahoma" w:cs="Tahoma"/>
          <w:sz w:val="24"/>
          <w:szCs w:val="24"/>
        </w:rPr>
        <w:t>Translating industrial and business employment levels to a land requirement</w:t>
      </w:r>
    </w:p>
    <w:p w:rsidR="005E10F4" w:rsidRPr="003A54AA" w:rsidRDefault="005E10F4" w:rsidP="00185000">
      <w:pPr>
        <w:autoSpaceDE w:val="0"/>
        <w:autoSpaceDN w:val="0"/>
        <w:adjustRightInd w:val="0"/>
        <w:spacing w:after="0" w:line="240" w:lineRule="auto"/>
        <w:jc w:val="both"/>
        <w:rPr>
          <w:rFonts w:ascii="Tahoma" w:hAnsi="Tahoma" w:cs="Tahoma"/>
          <w:color w:val="FF0000"/>
          <w:sz w:val="24"/>
          <w:szCs w:val="24"/>
        </w:rPr>
      </w:pPr>
      <w:proofErr w:type="gramStart"/>
      <w:r w:rsidRPr="003A54AA">
        <w:rPr>
          <w:rFonts w:ascii="Tahoma" w:hAnsi="Tahoma" w:cs="Tahoma"/>
          <w:sz w:val="24"/>
          <w:szCs w:val="24"/>
        </w:rPr>
        <w:t>is</w:t>
      </w:r>
      <w:proofErr w:type="gramEnd"/>
      <w:r w:rsidRPr="003A54AA">
        <w:rPr>
          <w:rFonts w:ascii="Tahoma" w:hAnsi="Tahoma" w:cs="Tahoma"/>
          <w:sz w:val="24"/>
          <w:szCs w:val="24"/>
        </w:rPr>
        <w:t xml:space="preserve"> problematic given the variance of employment densities between uses.</w:t>
      </w:r>
      <w:r w:rsidR="00545BA0" w:rsidRPr="003A54AA">
        <w:rPr>
          <w:rFonts w:ascii="Tahoma" w:hAnsi="Tahoma" w:cs="Tahoma"/>
          <w:sz w:val="24"/>
          <w:szCs w:val="24"/>
        </w:rPr>
        <w:t xml:space="preserve"> </w:t>
      </w:r>
      <w:r w:rsidRPr="003A54AA">
        <w:rPr>
          <w:rFonts w:ascii="Tahoma" w:hAnsi="Tahoma" w:cs="Tahoma"/>
          <w:sz w:val="24"/>
          <w:szCs w:val="24"/>
        </w:rPr>
        <w:t>Research by Colliers CRE showed density ranged from 1 job per 16sqm at</w:t>
      </w:r>
      <w:r w:rsidR="00545BA0" w:rsidRPr="003A54AA">
        <w:rPr>
          <w:rFonts w:ascii="Tahoma" w:hAnsi="Tahoma" w:cs="Tahoma"/>
          <w:sz w:val="24"/>
          <w:szCs w:val="24"/>
        </w:rPr>
        <w:t xml:space="preserve"> </w:t>
      </w:r>
      <w:proofErr w:type="spellStart"/>
      <w:r w:rsidRPr="003A54AA">
        <w:rPr>
          <w:rFonts w:ascii="Tahoma" w:hAnsi="Tahoma" w:cs="Tahoma"/>
          <w:sz w:val="24"/>
          <w:szCs w:val="24"/>
        </w:rPr>
        <w:t>Doxford</w:t>
      </w:r>
      <w:proofErr w:type="spellEnd"/>
      <w:r w:rsidRPr="003A54AA">
        <w:rPr>
          <w:rFonts w:ascii="Tahoma" w:hAnsi="Tahoma" w:cs="Tahoma"/>
          <w:sz w:val="24"/>
          <w:szCs w:val="24"/>
        </w:rPr>
        <w:t xml:space="preserve"> Park, Sunderland to 1 job per 99</w:t>
      </w:r>
      <w:r w:rsidR="003A54AA">
        <w:rPr>
          <w:rFonts w:ascii="Tahoma" w:hAnsi="Tahoma" w:cs="Tahoma"/>
          <w:sz w:val="24"/>
          <w:szCs w:val="24"/>
        </w:rPr>
        <w:t xml:space="preserve"> </w:t>
      </w:r>
      <w:proofErr w:type="spellStart"/>
      <w:r w:rsidRPr="003A54AA">
        <w:rPr>
          <w:rFonts w:ascii="Tahoma" w:hAnsi="Tahoma" w:cs="Tahoma"/>
          <w:sz w:val="24"/>
          <w:szCs w:val="24"/>
        </w:rPr>
        <w:t>sqm</w:t>
      </w:r>
      <w:proofErr w:type="spellEnd"/>
      <w:r w:rsidRPr="003A54AA">
        <w:rPr>
          <w:rFonts w:ascii="Tahoma" w:hAnsi="Tahoma" w:cs="Tahoma"/>
          <w:sz w:val="24"/>
          <w:szCs w:val="24"/>
        </w:rPr>
        <w:t xml:space="preserve"> at Sherwood Business Park,</w:t>
      </w:r>
      <w:r w:rsidR="00545BA0" w:rsidRPr="003A54AA">
        <w:rPr>
          <w:rFonts w:ascii="Tahoma" w:hAnsi="Tahoma" w:cs="Tahoma"/>
          <w:sz w:val="24"/>
          <w:szCs w:val="24"/>
        </w:rPr>
        <w:t xml:space="preserve"> </w:t>
      </w:r>
      <w:proofErr w:type="spellStart"/>
      <w:r w:rsidRPr="003A54AA">
        <w:rPr>
          <w:rFonts w:ascii="Tahoma" w:hAnsi="Tahoma" w:cs="Tahoma"/>
          <w:sz w:val="24"/>
          <w:szCs w:val="24"/>
        </w:rPr>
        <w:t>Annersley</w:t>
      </w:r>
      <w:proofErr w:type="spellEnd"/>
      <w:r w:rsidRPr="003A54AA">
        <w:rPr>
          <w:rFonts w:ascii="Tahoma" w:hAnsi="Tahoma" w:cs="Tahoma"/>
          <w:sz w:val="24"/>
          <w:szCs w:val="24"/>
        </w:rPr>
        <w:t xml:space="preserve">, </w:t>
      </w:r>
      <w:proofErr w:type="gramStart"/>
      <w:r w:rsidRPr="003A54AA">
        <w:rPr>
          <w:rFonts w:ascii="Tahoma" w:hAnsi="Tahoma" w:cs="Tahoma"/>
          <w:sz w:val="24"/>
          <w:szCs w:val="24"/>
        </w:rPr>
        <w:t>Nottinghamshire</w:t>
      </w:r>
      <w:proofErr w:type="gramEnd"/>
      <w:r w:rsidRPr="003A54AA">
        <w:rPr>
          <w:rFonts w:ascii="Tahoma" w:hAnsi="Tahoma" w:cs="Tahoma"/>
          <w:sz w:val="24"/>
          <w:szCs w:val="24"/>
        </w:rPr>
        <w:t>. Similar disparities have been shown up by</w:t>
      </w:r>
      <w:r w:rsidR="00545BA0" w:rsidRPr="003A54AA">
        <w:rPr>
          <w:rFonts w:ascii="Tahoma" w:hAnsi="Tahoma" w:cs="Tahoma"/>
          <w:sz w:val="24"/>
          <w:szCs w:val="24"/>
        </w:rPr>
        <w:t xml:space="preserve"> </w:t>
      </w:r>
      <w:r w:rsidRPr="003A54AA">
        <w:rPr>
          <w:rFonts w:ascii="Tahoma" w:hAnsi="Tahoma" w:cs="Tahoma"/>
          <w:sz w:val="24"/>
          <w:szCs w:val="24"/>
        </w:rPr>
        <w:t>surveys of industrial estates carried out by DOE Planning in 2005 and 2010.These established that average employment densities at older industrial</w:t>
      </w:r>
      <w:r w:rsidR="00545BA0" w:rsidRPr="003A54AA">
        <w:rPr>
          <w:rFonts w:ascii="Tahoma" w:hAnsi="Tahoma" w:cs="Tahoma"/>
          <w:sz w:val="24"/>
          <w:szCs w:val="24"/>
        </w:rPr>
        <w:t xml:space="preserve"> </w:t>
      </w:r>
      <w:r w:rsidRPr="003A54AA">
        <w:rPr>
          <w:rFonts w:ascii="Tahoma" w:hAnsi="Tahoma" w:cs="Tahoma"/>
          <w:sz w:val="24"/>
          <w:szCs w:val="24"/>
        </w:rPr>
        <w:t>estates where there was still a significant element of general</w:t>
      </w:r>
      <w:r w:rsidR="00545BA0" w:rsidRPr="003A54AA">
        <w:rPr>
          <w:rFonts w:ascii="Tahoma" w:hAnsi="Tahoma" w:cs="Tahoma"/>
          <w:sz w:val="24"/>
          <w:szCs w:val="24"/>
        </w:rPr>
        <w:t xml:space="preserve"> </w:t>
      </w:r>
      <w:r w:rsidRPr="003A54AA">
        <w:rPr>
          <w:rFonts w:ascii="Tahoma" w:hAnsi="Tahoma" w:cs="Tahoma"/>
          <w:sz w:val="24"/>
          <w:szCs w:val="24"/>
        </w:rPr>
        <w:t>industrial/engineering and storage/distribution uses fell within a range of</w:t>
      </w:r>
      <w:r w:rsidR="00545BA0" w:rsidRPr="003A54AA">
        <w:rPr>
          <w:rFonts w:ascii="Tahoma" w:hAnsi="Tahoma" w:cs="Tahoma"/>
          <w:sz w:val="24"/>
          <w:szCs w:val="24"/>
        </w:rPr>
        <w:t xml:space="preserve"> </w:t>
      </w:r>
      <w:r w:rsidRPr="003A54AA">
        <w:rPr>
          <w:rFonts w:ascii="Tahoma" w:hAnsi="Tahoma" w:cs="Tahoma"/>
          <w:sz w:val="24"/>
          <w:szCs w:val="24"/>
        </w:rPr>
        <w:t xml:space="preserve">between 1 job per 50 </w:t>
      </w:r>
      <w:proofErr w:type="spellStart"/>
      <w:r w:rsidRPr="003A54AA">
        <w:rPr>
          <w:rFonts w:ascii="Tahoma" w:hAnsi="Tahoma" w:cs="Tahoma"/>
          <w:sz w:val="24"/>
          <w:szCs w:val="24"/>
        </w:rPr>
        <w:t>sqm</w:t>
      </w:r>
      <w:proofErr w:type="spellEnd"/>
      <w:r w:rsidRPr="003A54AA">
        <w:rPr>
          <w:rFonts w:ascii="Tahoma" w:hAnsi="Tahoma" w:cs="Tahoma"/>
          <w:sz w:val="24"/>
          <w:szCs w:val="24"/>
        </w:rPr>
        <w:t xml:space="preserve"> and 1 job per 80 </w:t>
      </w:r>
      <w:proofErr w:type="spellStart"/>
      <w:r w:rsidRPr="003A54AA">
        <w:rPr>
          <w:rFonts w:ascii="Tahoma" w:hAnsi="Tahoma" w:cs="Tahoma"/>
          <w:sz w:val="24"/>
          <w:szCs w:val="24"/>
        </w:rPr>
        <w:t>sqm</w:t>
      </w:r>
      <w:proofErr w:type="spellEnd"/>
      <w:r w:rsidRPr="003A54AA">
        <w:rPr>
          <w:rFonts w:ascii="Tahoma" w:hAnsi="Tahoma" w:cs="Tahoma"/>
          <w:sz w:val="24"/>
          <w:szCs w:val="24"/>
        </w:rPr>
        <w:t xml:space="preserve">. </w:t>
      </w:r>
    </w:p>
    <w:p w:rsidR="00C83A85" w:rsidRPr="003A54AA" w:rsidRDefault="00C83A85" w:rsidP="00185000">
      <w:pPr>
        <w:autoSpaceDE w:val="0"/>
        <w:autoSpaceDN w:val="0"/>
        <w:adjustRightInd w:val="0"/>
        <w:spacing w:after="0" w:line="240" w:lineRule="auto"/>
        <w:jc w:val="both"/>
        <w:rPr>
          <w:rFonts w:ascii="Tahoma" w:hAnsi="Tahoma" w:cs="Tahoma"/>
          <w:b/>
          <w:bCs/>
          <w:color w:val="FF0000"/>
          <w:sz w:val="24"/>
          <w:szCs w:val="24"/>
        </w:rPr>
      </w:pPr>
    </w:p>
    <w:p w:rsidR="005E10F4"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5E10F4" w:rsidRPr="003A54AA">
        <w:rPr>
          <w:rFonts w:ascii="Tahoma" w:hAnsi="Tahoma" w:cs="Tahoma"/>
          <w:b/>
          <w:bCs/>
          <w:sz w:val="24"/>
          <w:szCs w:val="24"/>
        </w:rPr>
        <w:t xml:space="preserve">.14 </w:t>
      </w:r>
      <w:r w:rsidR="003F2672">
        <w:rPr>
          <w:rFonts w:ascii="Tahoma" w:hAnsi="Tahoma" w:cs="Tahoma"/>
          <w:b/>
          <w:bCs/>
          <w:sz w:val="24"/>
          <w:szCs w:val="24"/>
        </w:rPr>
        <w:tab/>
      </w:r>
      <w:r w:rsidR="005E10F4" w:rsidRPr="003A54AA">
        <w:rPr>
          <w:rFonts w:ascii="Tahoma" w:hAnsi="Tahoma" w:cs="Tahoma"/>
          <w:sz w:val="24"/>
          <w:szCs w:val="24"/>
        </w:rPr>
        <w:t>Establishing employment levels per hectare is equally problematic. Research</w:t>
      </w:r>
    </w:p>
    <w:p w:rsidR="005E10F4" w:rsidRPr="003A54AA" w:rsidRDefault="005E10F4"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by</w:t>
      </w:r>
      <w:proofErr w:type="gramEnd"/>
      <w:r w:rsidRPr="003A54AA">
        <w:rPr>
          <w:rFonts w:ascii="Tahoma" w:hAnsi="Tahoma" w:cs="Tahoma"/>
          <w:sz w:val="24"/>
          <w:szCs w:val="24"/>
        </w:rPr>
        <w:t xml:space="preserve"> Colliers CRE</w:t>
      </w:r>
      <w:r w:rsidR="00096EF0" w:rsidRPr="003A54AA">
        <w:rPr>
          <w:rStyle w:val="FootnoteReference"/>
          <w:rFonts w:ascii="Tahoma" w:hAnsi="Tahoma" w:cs="Tahoma"/>
          <w:sz w:val="24"/>
          <w:szCs w:val="24"/>
        </w:rPr>
        <w:footnoteReference w:id="31"/>
      </w:r>
      <w:r w:rsidRPr="003A54AA">
        <w:rPr>
          <w:rFonts w:ascii="Tahoma" w:hAnsi="Tahoma" w:cs="Tahoma"/>
          <w:sz w:val="24"/>
          <w:szCs w:val="24"/>
        </w:rPr>
        <w:t xml:space="preserve"> suggests that this could vary from 85 jobs per hectare on a</w:t>
      </w:r>
      <w:r w:rsidR="00545BA0" w:rsidRPr="003A54AA">
        <w:rPr>
          <w:rFonts w:ascii="Tahoma" w:hAnsi="Tahoma" w:cs="Tahoma"/>
          <w:sz w:val="24"/>
          <w:szCs w:val="24"/>
        </w:rPr>
        <w:t xml:space="preserve"> </w:t>
      </w:r>
      <w:r w:rsidRPr="003A54AA">
        <w:rPr>
          <w:rFonts w:ascii="Tahoma" w:hAnsi="Tahoma" w:cs="Tahoma"/>
          <w:sz w:val="24"/>
          <w:szCs w:val="24"/>
        </w:rPr>
        <w:t>modern industrial estate and up to 600 employees per hectare on an estate</w:t>
      </w:r>
      <w:r w:rsidR="00545BA0" w:rsidRPr="003A54AA">
        <w:rPr>
          <w:rFonts w:ascii="Tahoma" w:hAnsi="Tahoma" w:cs="Tahoma"/>
          <w:sz w:val="24"/>
          <w:szCs w:val="24"/>
        </w:rPr>
        <w:t xml:space="preserve"> </w:t>
      </w:r>
      <w:r w:rsidRPr="003A54AA">
        <w:rPr>
          <w:rFonts w:ascii="Tahoma" w:hAnsi="Tahoma" w:cs="Tahoma"/>
          <w:sz w:val="24"/>
          <w:szCs w:val="24"/>
        </w:rPr>
        <w:t xml:space="preserve">with a predominance of call centres. Research by </w:t>
      </w:r>
      <w:proofErr w:type="spellStart"/>
      <w:r w:rsidRPr="003A54AA">
        <w:rPr>
          <w:rFonts w:ascii="Tahoma" w:hAnsi="Tahoma" w:cs="Tahoma"/>
          <w:sz w:val="24"/>
          <w:szCs w:val="24"/>
        </w:rPr>
        <w:t>Touche</w:t>
      </w:r>
      <w:proofErr w:type="spellEnd"/>
      <w:r w:rsidRPr="003A54AA">
        <w:rPr>
          <w:rFonts w:ascii="Tahoma" w:hAnsi="Tahoma" w:cs="Tahoma"/>
          <w:sz w:val="24"/>
          <w:szCs w:val="24"/>
        </w:rPr>
        <w:t xml:space="preserve"> Ross for the</w:t>
      </w:r>
      <w:r w:rsidR="00545BA0" w:rsidRPr="003A54AA">
        <w:rPr>
          <w:rFonts w:ascii="Tahoma" w:hAnsi="Tahoma" w:cs="Tahoma"/>
          <w:sz w:val="24"/>
          <w:szCs w:val="24"/>
        </w:rPr>
        <w:t xml:space="preserve"> </w:t>
      </w:r>
      <w:r w:rsidRPr="003A54AA">
        <w:rPr>
          <w:rFonts w:ascii="Tahoma" w:hAnsi="Tahoma" w:cs="Tahoma"/>
          <w:sz w:val="24"/>
          <w:szCs w:val="24"/>
        </w:rPr>
        <w:t>Craigavon Economic Revitalisation Strategy 1994–2000 suggested a ratio of</w:t>
      </w:r>
      <w:r w:rsidR="00545BA0" w:rsidRPr="003A54AA">
        <w:rPr>
          <w:rFonts w:ascii="Tahoma" w:hAnsi="Tahoma" w:cs="Tahoma"/>
          <w:sz w:val="24"/>
          <w:szCs w:val="24"/>
        </w:rPr>
        <w:t xml:space="preserve"> </w:t>
      </w:r>
      <w:r w:rsidRPr="003A54AA">
        <w:rPr>
          <w:rFonts w:ascii="Tahoma" w:hAnsi="Tahoma" w:cs="Tahoma"/>
          <w:sz w:val="24"/>
          <w:szCs w:val="24"/>
        </w:rPr>
        <w:t>50 employees per hectare. DOE Planning’s studies of four industrial estates</w:t>
      </w:r>
      <w:r w:rsidR="00545BA0" w:rsidRPr="003A54AA">
        <w:rPr>
          <w:rFonts w:ascii="Tahoma" w:hAnsi="Tahoma" w:cs="Tahoma"/>
          <w:sz w:val="24"/>
          <w:szCs w:val="24"/>
        </w:rPr>
        <w:t xml:space="preserve"> </w:t>
      </w:r>
      <w:r w:rsidRPr="003A54AA">
        <w:rPr>
          <w:rFonts w:ascii="Tahoma" w:hAnsi="Tahoma" w:cs="Tahoma"/>
          <w:sz w:val="24"/>
          <w:szCs w:val="24"/>
        </w:rPr>
        <w:t>found that employee densities averaged 42 jobs per hectare and ranged from</w:t>
      </w:r>
      <w:r w:rsidR="00545BA0" w:rsidRPr="003A54AA">
        <w:rPr>
          <w:rFonts w:ascii="Tahoma" w:hAnsi="Tahoma" w:cs="Tahoma"/>
          <w:sz w:val="24"/>
          <w:szCs w:val="24"/>
        </w:rPr>
        <w:t xml:space="preserve"> </w:t>
      </w:r>
      <w:r w:rsidRPr="003A54AA">
        <w:rPr>
          <w:rFonts w:ascii="Tahoma" w:hAnsi="Tahoma" w:cs="Tahoma"/>
          <w:sz w:val="24"/>
          <w:szCs w:val="24"/>
        </w:rPr>
        <w:t>17 to 97 jobs per hectare. These reflect a broad range of age and type of</w:t>
      </w:r>
      <w:r w:rsidR="00545BA0" w:rsidRPr="003A54AA">
        <w:rPr>
          <w:rFonts w:ascii="Tahoma" w:hAnsi="Tahoma" w:cs="Tahoma"/>
          <w:sz w:val="24"/>
          <w:szCs w:val="24"/>
        </w:rPr>
        <w:t xml:space="preserve"> </w:t>
      </w:r>
      <w:r w:rsidRPr="003A54AA">
        <w:rPr>
          <w:rFonts w:ascii="Tahoma" w:hAnsi="Tahoma" w:cs="Tahoma"/>
          <w:sz w:val="24"/>
          <w:szCs w:val="24"/>
        </w:rPr>
        <w:t>industry with a mix of industrial and business uses. It is therefore not</w:t>
      </w:r>
      <w:r w:rsidR="00545BA0" w:rsidRPr="003A54AA">
        <w:rPr>
          <w:rFonts w:ascii="Tahoma" w:hAnsi="Tahoma" w:cs="Tahoma"/>
          <w:sz w:val="24"/>
          <w:szCs w:val="24"/>
        </w:rPr>
        <w:t xml:space="preserve"> </w:t>
      </w:r>
      <w:r w:rsidRPr="003A54AA">
        <w:rPr>
          <w:rFonts w:ascii="Tahoma" w:hAnsi="Tahoma" w:cs="Tahoma"/>
          <w:sz w:val="24"/>
          <w:szCs w:val="24"/>
        </w:rPr>
        <w:t xml:space="preserve">unreasonable to assume that an employment ratio </w:t>
      </w:r>
      <w:r w:rsidRPr="003A54AA">
        <w:rPr>
          <w:rFonts w:ascii="Tahoma" w:hAnsi="Tahoma" w:cs="Tahoma"/>
          <w:sz w:val="24"/>
          <w:szCs w:val="24"/>
        </w:rPr>
        <w:lastRenderedPageBreak/>
        <w:t>of one job per 25 square</w:t>
      </w:r>
      <w:r w:rsidR="00545BA0" w:rsidRPr="003A54AA">
        <w:rPr>
          <w:rFonts w:ascii="Tahoma" w:hAnsi="Tahoma" w:cs="Tahoma"/>
          <w:sz w:val="24"/>
          <w:szCs w:val="24"/>
        </w:rPr>
        <w:t xml:space="preserve"> </w:t>
      </w:r>
      <w:r w:rsidRPr="003A54AA">
        <w:rPr>
          <w:rFonts w:ascii="Tahoma" w:hAnsi="Tahoma" w:cs="Tahoma"/>
          <w:sz w:val="24"/>
          <w:szCs w:val="24"/>
        </w:rPr>
        <w:t xml:space="preserve">metres </w:t>
      </w:r>
      <w:proofErr w:type="spellStart"/>
      <w:r w:rsidRPr="003A54AA">
        <w:rPr>
          <w:rFonts w:ascii="Tahoma" w:hAnsi="Tahoma" w:cs="Tahoma"/>
          <w:sz w:val="24"/>
          <w:szCs w:val="24"/>
        </w:rPr>
        <w:t>floorspace</w:t>
      </w:r>
      <w:proofErr w:type="spellEnd"/>
      <w:r w:rsidRPr="003A54AA">
        <w:rPr>
          <w:rFonts w:ascii="Tahoma" w:hAnsi="Tahoma" w:cs="Tahoma"/>
          <w:sz w:val="24"/>
          <w:szCs w:val="24"/>
        </w:rPr>
        <w:t xml:space="preserve"> and 50 jobs per hectare can be achieved on new industrial</w:t>
      </w:r>
      <w:r w:rsidR="00545BA0" w:rsidRPr="003A54AA">
        <w:rPr>
          <w:rFonts w:ascii="Tahoma" w:hAnsi="Tahoma" w:cs="Tahoma"/>
          <w:sz w:val="24"/>
          <w:szCs w:val="24"/>
        </w:rPr>
        <w:t xml:space="preserve"> </w:t>
      </w:r>
      <w:r w:rsidRPr="003A54AA">
        <w:rPr>
          <w:rFonts w:ascii="Tahoma" w:hAnsi="Tahoma" w:cs="Tahoma"/>
          <w:sz w:val="24"/>
          <w:szCs w:val="24"/>
        </w:rPr>
        <w:t>and business land. This is also in keeping with Invest NI’s view that there are</w:t>
      </w:r>
      <w:r w:rsidR="00545BA0" w:rsidRPr="003A54AA">
        <w:rPr>
          <w:rFonts w:ascii="Tahoma" w:hAnsi="Tahoma" w:cs="Tahoma"/>
          <w:sz w:val="24"/>
          <w:szCs w:val="24"/>
        </w:rPr>
        <w:t xml:space="preserve"> </w:t>
      </w:r>
      <w:r w:rsidRPr="003A54AA">
        <w:rPr>
          <w:rFonts w:ascii="Tahoma" w:hAnsi="Tahoma" w:cs="Tahoma"/>
          <w:sz w:val="24"/>
          <w:szCs w:val="24"/>
        </w:rPr>
        <w:t>opportunities for new hi-tech and business uses but that m</w:t>
      </w:r>
      <w:r w:rsidR="003A54AA">
        <w:rPr>
          <w:rFonts w:ascii="Tahoma" w:hAnsi="Tahoma" w:cs="Tahoma"/>
          <w:sz w:val="24"/>
          <w:szCs w:val="24"/>
        </w:rPr>
        <w:t xml:space="preserve">ore traditional </w:t>
      </w:r>
      <w:r w:rsidRPr="003A54AA">
        <w:rPr>
          <w:rFonts w:ascii="Tahoma" w:hAnsi="Tahoma" w:cs="Tahoma"/>
          <w:sz w:val="24"/>
          <w:szCs w:val="24"/>
        </w:rPr>
        <w:t>indigenous industries will continue to play an important role.</w:t>
      </w:r>
    </w:p>
    <w:p w:rsidR="00545BA0" w:rsidRDefault="00545BA0" w:rsidP="005E10F4">
      <w:pPr>
        <w:autoSpaceDE w:val="0"/>
        <w:autoSpaceDN w:val="0"/>
        <w:adjustRightInd w:val="0"/>
        <w:spacing w:after="0" w:line="240" w:lineRule="auto"/>
        <w:rPr>
          <w:rFonts w:ascii="Arial" w:hAnsi="Arial" w:cs="Arial"/>
          <w:sz w:val="24"/>
          <w:szCs w:val="24"/>
        </w:rPr>
      </w:pPr>
    </w:p>
    <w:p w:rsidR="00545BA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5E10F4" w:rsidRPr="003A54AA">
        <w:rPr>
          <w:rFonts w:ascii="Tahoma" w:hAnsi="Tahoma" w:cs="Tahoma"/>
          <w:b/>
          <w:bCs/>
          <w:sz w:val="24"/>
          <w:szCs w:val="24"/>
        </w:rPr>
        <w:t xml:space="preserve">.15 </w:t>
      </w:r>
      <w:r w:rsidR="003F2672">
        <w:rPr>
          <w:rFonts w:ascii="Tahoma" w:hAnsi="Tahoma" w:cs="Tahoma"/>
          <w:b/>
          <w:bCs/>
          <w:sz w:val="24"/>
          <w:szCs w:val="24"/>
        </w:rPr>
        <w:tab/>
      </w:r>
      <w:r w:rsidR="005E10F4" w:rsidRPr="003A54AA">
        <w:rPr>
          <w:rFonts w:ascii="Tahoma" w:hAnsi="Tahoma" w:cs="Tahoma"/>
          <w:sz w:val="24"/>
          <w:szCs w:val="24"/>
        </w:rPr>
        <w:t>Thus, by applying a density of 50 jobs per hectare to our new jobs in</w:t>
      </w:r>
      <w:r w:rsidR="00545BA0" w:rsidRPr="003A54AA">
        <w:rPr>
          <w:rFonts w:ascii="Tahoma" w:hAnsi="Tahoma" w:cs="Tahoma"/>
          <w:sz w:val="24"/>
          <w:szCs w:val="24"/>
        </w:rPr>
        <w:t xml:space="preserve"> </w:t>
      </w:r>
      <w:r w:rsidR="005E10F4" w:rsidRPr="003A54AA">
        <w:rPr>
          <w:rFonts w:ascii="Tahoma" w:hAnsi="Tahoma" w:cs="Tahoma"/>
          <w:sz w:val="24"/>
          <w:szCs w:val="24"/>
        </w:rPr>
        <w:t>manufacturing and s</w:t>
      </w:r>
      <w:r w:rsidR="00545425">
        <w:rPr>
          <w:rFonts w:ascii="Tahoma" w:hAnsi="Tahoma" w:cs="Tahoma"/>
          <w:sz w:val="24"/>
          <w:szCs w:val="24"/>
        </w:rPr>
        <w:t>ervices as estimated under method 2 and m</w:t>
      </w:r>
      <w:r w:rsidR="00CD2746" w:rsidRPr="003A54AA">
        <w:rPr>
          <w:rFonts w:ascii="Tahoma" w:hAnsi="Tahoma" w:cs="Tahoma"/>
          <w:sz w:val="24"/>
          <w:szCs w:val="24"/>
        </w:rPr>
        <w:t>ethod</w:t>
      </w:r>
      <w:r w:rsidR="005E10F4" w:rsidRPr="003A54AA">
        <w:rPr>
          <w:rFonts w:ascii="Tahoma" w:hAnsi="Tahoma" w:cs="Tahoma"/>
          <w:sz w:val="24"/>
          <w:szCs w:val="24"/>
        </w:rPr>
        <w:t xml:space="preserve"> 3, some</w:t>
      </w:r>
      <w:r w:rsidR="00545BA0" w:rsidRPr="003A54AA">
        <w:rPr>
          <w:rFonts w:ascii="Tahoma" w:hAnsi="Tahoma" w:cs="Tahoma"/>
          <w:sz w:val="24"/>
          <w:szCs w:val="24"/>
        </w:rPr>
        <w:t xml:space="preserve"> </w:t>
      </w:r>
      <w:r w:rsidR="007A3920" w:rsidRPr="003A54AA">
        <w:rPr>
          <w:rFonts w:ascii="Tahoma" w:hAnsi="Tahoma" w:cs="Tahoma"/>
          <w:b/>
          <w:bCs/>
          <w:sz w:val="24"/>
          <w:szCs w:val="24"/>
        </w:rPr>
        <w:t>166</w:t>
      </w:r>
      <w:r w:rsidR="005E10F4" w:rsidRPr="003A54AA">
        <w:rPr>
          <w:rFonts w:ascii="Tahoma" w:hAnsi="Tahoma" w:cs="Tahoma"/>
          <w:b/>
          <w:bCs/>
          <w:color w:val="FF0000"/>
          <w:sz w:val="24"/>
          <w:szCs w:val="24"/>
        </w:rPr>
        <w:t xml:space="preserve"> </w:t>
      </w:r>
      <w:r w:rsidR="005E10F4" w:rsidRPr="003A54AA">
        <w:rPr>
          <w:rFonts w:ascii="Tahoma" w:hAnsi="Tahoma" w:cs="Tahoma"/>
          <w:sz w:val="24"/>
          <w:szCs w:val="24"/>
        </w:rPr>
        <w:t>hectares of economic development la</w:t>
      </w:r>
      <w:r w:rsidR="00545425">
        <w:rPr>
          <w:rFonts w:ascii="Tahoma" w:hAnsi="Tahoma" w:cs="Tahoma"/>
          <w:sz w:val="24"/>
          <w:szCs w:val="24"/>
        </w:rPr>
        <w:t>nd would be required under m</w:t>
      </w:r>
      <w:r w:rsidR="00CD2746" w:rsidRPr="003A54AA">
        <w:rPr>
          <w:rFonts w:ascii="Tahoma" w:hAnsi="Tahoma" w:cs="Tahoma"/>
          <w:sz w:val="24"/>
          <w:szCs w:val="24"/>
        </w:rPr>
        <w:t>ethod</w:t>
      </w:r>
      <w:r w:rsidR="005E10F4" w:rsidRPr="003A54AA">
        <w:rPr>
          <w:rFonts w:ascii="Tahoma" w:hAnsi="Tahoma" w:cs="Tahoma"/>
          <w:sz w:val="24"/>
          <w:szCs w:val="24"/>
        </w:rPr>
        <w:t xml:space="preserve"> 2</w:t>
      </w:r>
      <w:r w:rsidR="00545BA0" w:rsidRPr="003A54AA">
        <w:rPr>
          <w:rFonts w:ascii="Tahoma" w:hAnsi="Tahoma" w:cs="Tahoma"/>
          <w:sz w:val="24"/>
          <w:szCs w:val="24"/>
        </w:rPr>
        <w:t xml:space="preserve"> </w:t>
      </w:r>
      <w:proofErr w:type="gramStart"/>
      <w:r w:rsidR="005E10F4" w:rsidRPr="003A54AA">
        <w:rPr>
          <w:rFonts w:ascii="Tahoma" w:hAnsi="Tahoma" w:cs="Tahoma"/>
          <w:sz w:val="24"/>
          <w:szCs w:val="24"/>
        </w:rPr>
        <w:t xml:space="preserve">and </w:t>
      </w:r>
      <w:r w:rsidR="005E10F4" w:rsidRPr="003A54AA">
        <w:rPr>
          <w:rFonts w:ascii="Tahoma" w:hAnsi="Tahoma" w:cs="Tahoma"/>
          <w:b/>
          <w:bCs/>
          <w:sz w:val="24"/>
          <w:szCs w:val="24"/>
        </w:rPr>
        <w:t xml:space="preserve"> </w:t>
      </w:r>
      <w:r w:rsidR="00F16515" w:rsidRPr="003A54AA">
        <w:rPr>
          <w:rFonts w:ascii="Tahoma" w:hAnsi="Tahoma" w:cs="Tahoma"/>
          <w:b/>
          <w:bCs/>
          <w:sz w:val="24"/>
          <w:szCs w:val="24"/>
        </w:rPr>
        <w:t>169</w:t>
      </w:r>
      <w:proofErr w:type="gramEnd"/>
      <w:r w:rsidR="008723DE" w:rsidRPr="003A54AA">
        <w:rPr>
          <w:rFonts w:ascii="Tahoma" w:hAnsi="Tahoma" w:cs="Tahoma"/>
          <w:b/>
          <w:bCs/>
          <w:sz w:val="24"/>
          <w:szCs w:val="24"/>
        </w:rPr>
        <w:t xml:space="preserve"> </w:t>
      </w:r>
      <w:r w:rsidR="005E10F4" w:rsidRPr="003A54AA">
        <w:rPr>
          <w:rFonts w:ascii="Tahoma" w:hAnsi="Tahoma" w:cs="Tahoma"/>
          <w:sz w:val="24"/>
          <w:szCs w:val="24"/>
        </w:rPr>
        <w:t>hectares would be required</w:t>
      </w:r>
      <w:r w:rsidR="00545425">
        <w:rPr>
          <w:rFonts w:ascii="Tahoma" w:hAnsi="Tahoma" w:cs="Tahoma"/>
          <w:sz w:val="24"/>
          <w:szCs w:val="24"/>
        </w:rPr>
        <w:t xml:space="preserve"> using m</w:t>
      </w:r>
      <w:r w:rsidR="00CD2746" w:rsidRPr="003A54AA">
        <w:rPr>
          <w:rFonts w:ascii="Tahoma" w:hAnsi="Tahoma" w:cs="Tahoma"/>
          <w:sz w:val="24"/>
          <w:szCs w:val="24"/>
        </w:rPr>
        <w:t>ethod</w:t>
      </w:r>
      <w:r w:rsidR="005E10F4" w:rsidRPr="003A54AA">
        <w:rPr>
          <w:rFonts w:ascii="Tahoma" w:hAnsi="Tahoma" w:cs="Tahoma"/>
          <w:sz w:val="24"/>
          <w:szCs w:val="24"/>
        </w:rPr>
        <w:t xml:space="preserve"> 3. In order to build in as much</w:t>
      </w:r>
      <w:r w:rsidR="00545BA0" w:rsidRPr="003A54AA">
        <w:rPr>
          <w:rFonts w:ascii="Tahoma" w:hAnsi="Tahoma" w:cs="Tahoma"/>
          <w:sz w:val="24"/>
          <w:szCs w:val="24"/>
        </w:rPr>
        <w:t xml:space="preserve"> </w:t>
      </w:r>
      <w:r w:rsidR="005E10F4" w:rsidRPr="003A54AA">
        <w:rPr>
          <w:rFonts w:ascii="Tahoma" w:hAnsi="Tahoma" w:cs="Tahoma"/>
          <w:sz w:val="24"/>
          <w:szCs w:val="24"/>
        </w:rPr>
        <w:t>flexibility and choice as possible over the plan period whilst also keeping it</w:t>
      </w:r>
      <w:r w:rsidR="00545BA0" w:rsidRPr="003A54AA">
        <w:rPr>
          <w:rFonts w:ascii="Tahoma" w:hAnsi="Tahoma" w:cs="Tahoma"/>
          <w:sz w:val="24"/>
          <w:szCs w:val="24"/>
        </w:rPr>
        <w:t xml:space="preserve"> </w:t>
      </w:r>
      <w:r w:rsidR="005E10F4" w:rsidRPr="003A54AA">
        <w:rPr>
          <w:rFonts w:ascii="Tahoma" w:hAnsi="Tahoma" w:cs="Tahoma"/>
          <w:sz w:val="24"/>
          <w:szCs w:val="24"/>
        </w:rPr>
        <w:t>anchored, it is recommended that the higher figure is chosen.</w:t>
      </w:r>
      <w:r w:rsidR="008723DE" w:rsidRPr="003A54AA">
        <w:rPr>
          <w:rFonts w:ascii="Tahoma" w:hAnsi="Tahoma" w:cs="Tahoma"/>
          <w:sz w:val="24"/>
          <w:szCs w:val="24"/>
        </w:rPr>
        <w:t xml:space="preserve"> Industrial land surveys in May</w:t>
      </w:r>
      <w:r w:rsidR="000A27A5" w:rsidRPr="003A54AA">
        <w:rPr>
          <w:rFonts w:ascii="Tahoma" w:hAnsi="Tahoma" w:cs="Tahoma"/>
          <w:sz w:val="24"/>
          <w:szCs w:val="24"/>
        </w:rPr>
        <w:t xml:space="preserve"> &amp; June</w:t>
      </w:r>
      <w:r w:rsidR="008723DE" w:rsidRPr="003A54AA">
        <w:rPr>
          <w:rFonts w:ascii="Tahoma" w:hAnsi="Tahoma" w:cs="Tahoma"/>
          <w:sz w:val="24"/>
          <w:szCs w:val="24"/>
        </w:rPr>
        <w:t xml:space="preserve"> 2015 reveal that there </w:t>
      </w:r>
      <w:proofErr w:type="gramStart"/>
      <w:r w:rsidR="008723DE" w:rsidRPr="003A54AA">
        <w:rPr>
          <w:rFonts w:ascii="Tahoma" w:hAnsi="Tahoma" w:cs="Tahoma"/>
          <w:sz w:val="24"/>
          <w:szCs w:val="24"/>
        </w:rPr>
        <w:t>is</w:t>
      </w:r>
      <w:proofErr w:type="gramEnd"/>
      <w:r w:rsidR="008723DE" w:rsidRPr="003A54AA">
        <w:rPr>
          <w:rFonts w:ascii="Tahoma" w:hAnsi="Tahoma" w:cs="Tahoma"/>
          <w:sz w:val="24"/>
          <w:szCs w:val="24"/>
        </w:rPr>
        <w:t xml:space="preserve"> approximately </w:t>
      </w:r>
      <w:r w:rsidR="000B045C" w:rsidRPr="003A54AA">
        <w:rPr>
          <w:rFonts w:ascii="Tahoma" w:hAnsi="Tahoma" w:cs="Tahoma"/>
          <w:sz w:val="24"/>
          <w:szCs w:val="24"/>
        </w:rPr>
        <w:t>155</w:t>
      </w:r>
      <w:r w:rsidR="008723DE" w:rsidRPr="003A54AA">
        <w:rPr>
          <w:rFonts w:ascii="Tahoma" w:hAnsi="Tahoma" w:cs="Tahoma"/>
          <w:sz w:val="24"/>
          <w:szCs w:val="24"/>
        </w:rPr>
        <w:t xml:space="preserve"> hectares of zoned employment land </w:t>
      </w:r>
      <w:r w:rsidR="00545425">
        <w:rPr>
          <w:rFonts w:ascii="Tahoma" w:hAnsi="Tahoma" w:cs="Tahoma"/>
          <w:sz w:val="24"/>
          <w:szCs w:val="24"/>
        </w:rPr>
        <w:t>(ex</w:t>
      </w:r>
      <w:r w:rsidR="00412139" w:rsidRPr="003A54AA">
        <w:rPr>
          <w:rFonts w:ascii="Tahoma" w:hAnsi="Tahoma" w:cs="Tahoma"/>
          <w:sz w:val="24"/>
          <w:szCs w:val="24"/>
        </w:rPr>
        <w:t>cluding mixed use) and a further 20 hectares</w:t>
      </w:r>
      <w:r w:rsidR="00412139" w:rsidRPr="003A54AA">
        <w:rPr>
          <w:rStyle w:val="FootnoteReference"/>
          <w:rFonts w:ascii="Tahoma" w:hAnsi="Tahoma" w:cs="Tahoma"/>
          <w:sz w:val="24"/>
          <w:szCs w:val="24"/>
        </w:rPr>
        <w:footnoteReference w:id="32"/>
      </w:r>
      <w:r w:rsidR="00412139" w:rsidRPr="003A54AA">
        <w:rPr>
          <w:rFonts w:ascii="Tahoma" w:hAnsi="Tahoma" w:cs="Tahoma"/>
          <w:sz w:val="24"/>
          <w:szCs w:val="24"/>
        </w:rPr>
        <w:t xml:space="preserve"> of </w:t>
      </w:r>
      <w:proofErr w:type="spellStart"/>
      <w:r w:rsidR="00412139" w:rsidRPr="003A54AA">
        <w:rPr>
          <w:rFonts w:ascii="Tahoma" w:hAnsi="Tahoma" w:cs="Tahoma"/>
          <w:sz w:val="24"/>
          <w:szCs w:val="24"/>
        </w:rPr>
        <w:t>unzoned</w:t>
      </w:r>
      <w:proofErr w:type="spellEnd"/>
      <w:r w:rsidR="00412139" w:rsidRPr="003A54AA">
        <w:rPr>
          <w:rFonts w:ascii="Tahoma" w:hAnsi="Tahoma" w:cs="Tahoma"/>
          <w:sz w:val="24"/>
          <w:szCs w:val="24"/>
        </w:rPr>
        <w:t xml:space="preserve"> employment land </w:t>
      </w:r>
      <w:r w:rsidR="002F62EA">
        <w:rPr>
          <w:rFonts w:ascii="Tahoma" w:hAnsi="Tahoma" w:cs="Tahoma"/>
          <w:sz w:val="24"/>
          <w:szCs w:val="24"/>
        </w:rPr>
        <w:t xml:space="preserve">undeveloped in Newry, </w:t>
      </w:r>
      <w:proofErr w:type="spellStart"/>
      <w:r w:rsidR="002F62EA">
        <w:rPr>
          <w:rFonts w:ascii="Tahoma" w:hAnsi="Tahoma" w:cs="Tahoma"/>
          <w:sz w:val="24"/>
          <w:szCs w:val="24"/>
        </w:rPr>
        <w:t>Mourne</w:t>
      </w:r>
      <w:proofErr w:type="spellEnd"/>
      <w:r w:rsidR="002F62EA">
        <w:rPr>
          <w:rFonts w:ascii="Tahoma" w:hAnsi="Tahoma" w:cs="Tahoma"/>
          <w:sz w:val="24"/>
          <w:szCs w:val="24"/>
        </w:rPr>
        <w:t xml:space="preserve"> and Down</w:t>
      </w:r>
      <w:r w:rsidR="00D6394E" w:rsidRPr="003A54AA">
        <w:rPr>
          <w:rFonts w:ascii="Tahoma" w:hAnsi="Tahoma" w:cs="Tahoma"/>
          <w:sz w:val="24"/>
          <w:szCs w:val="24"/>
        </w:rPr>
        <w:t>.</w:t>
      </w:r>
    </w:p>
    <w:p w:rsidR="00797DF0" w:rsidRPr="003A54AA" w:rsidRDefault="00797DF0" w:rsidP="00185000">
      <w:pPr>
        <w:autoSpaceDE w:val="0"/>
        <w:autoSpaceDN w:val="0"/>
        <w:adjustRightInd w:val="0"/>
        <w:spacing w:after="0" w:line="240" w:lineRule="auto"/>
        <w:jc w:val="both"/>
        <w:rPr>
          <w:rFonts w:ascii="Tahoma" w:hAnsi="Tahoma" w:cs="Tahoma"/>
          <w:sz w:val="24"/>
          <w:szCs w:val="24"/>
        </w:rPr>
      </w:pPr>
    </w:p>
    <w:p w:rsidR="005E10F4"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5E10F4" w:rsidRPr="003A54AA">
        <w:rPr>
          <w:rFonts w:ascii="Tahoma" w:hAnsi="Tahoma" w:cs="Tahoma"/>
          <w:b/>
          <w:bCs/>
          <w:sz w:val="24"/>
          <w:szCs w:val="24"/>
        </w:rPr>
        <w:t xml:space="preserve">.16 </w:t>
      </w:r>
      <w:r w:rsidR="003F2672">
        <w:rPr>
          <w:rFonts w:ascii="Tahoma" w:hAnsi="Tahoma" w:cs="Tahoma"/>
          <w:b/>
          <w:bCs/>
          <w:sz w:val="24"/>
          <w:szCs w:val="24"/>
        </w:rPr>
        <w:tab/>
      </w:r>
      <w:r w:rsidR="005E10F4" w:rsidRPr="003A54AA">
        <w:rPr>
          <w:rFonts w:ascii="Tahoma" w:hAnsi="Tahoma" w:cs="Tahoma"/>
          <w:sz w:val="24"/>
          <w:szCs w:val="24"/>
        </w:rPr>
        <w:t>C</w:t>
      </w:r>
      <w:r w:rsidR="008A344E" w:rsidRPr="003A54AA">
        <w:rPr>
          <w:rFonts w:ascii="Tahoma" w:hAnsi="Tahoma" w:cs="Tahoma"/>
          <w:sz w:val="24"/>
          <w:szCs w:val="24"/>
        </w:rPr>
        <w:t xml:space="preserve">onsidering the potential of </w:t>
      </w:r>
      <w:r w:rsidR="000B045C" w:rsidRPr="003A54AA">
        <w:rPr>
          <w:rFonts w:ascii="Tahoma" w:hAnsi="Tahoma" w:cs="Tahoma"/>
          <w:sz w:val="24"/>
          <w:szCs w:val="24"/>
        </w:rPr>
        <w:t>175</w:t>
      </w:r>
      <w:r w:rsidR="008A344E" w:rsidRPr="003A54AA">
        <w:rPr>
          <w:rFonts w:ascii="Tahoma" w:hAnsi="Tahoma" w:cs="Tahoma"/>
          <w:sz w:val="24"/>
          <w:szCs w:val="24"/>
        </w:rPr>
        <w:t xml:space="preserve"> hectares </w:t>
      </w:r>
      <w:r w:rsidR="00DF3484" w:rsidRPr="003A54AA">
        <w:rPr>
          <w:rFonts w:ascii="Tahoma" w:hAnsi="Tahoma" w:cs="Tahoma"/>
          <w:sz w:val="24"/>
          <w:szCs w:val="24"/>
        </w:rPr>
        <w:t xml:space="preserve">(see </w:t>
      </w:r>
      <w:r w:rsidR="004A134D" w:rsidRPr="003A54AA">
        <w:rPr>
          <w:rFonts w:ascii="Tahoma" w:hAnsi="Tahoma" w:cs="Tahoma"/>
          <w:sz w:val="24"/>
          <w:szCs w:val="24"/>
        </w:rPr>
        <w:t xml:space="preserve">Table 7, </w:t>
      </w:r>
      <w:r w:rsidR="002F62EA">
        <w:rPr>
          <w:rFonts w:ascii="Tahoma" w:hAnsi="Tahoma" w:cs="Tahoma"/>
          <w:sz w:val="24"/>
          <w:szCs w:val="24"/>
        </w:rPr>
        <w:t xml:space="preserve">Newry, </w:t>
      </w:r>
      <w:proofErr w:type="spellStart"/>
      <w:r w:rsidR="002F62EA">
        <w:rPr>
          <w:rFonts w:ascii="Tahoma" w:hAnsi="Tahoma" w:cs="Tahoma"/>
          <w:sz w:val="24"/>
          <w:szCs w:val="24"/>
        </w:rPr>
        <w:t>Mourne</w:t>
      </w:r>
      <w:proofErr w:type="spellEnd"/>
      <w:r w:rsidR="002F62EA">
        <w:rPr>
          <w:rFonts w:ascii="Tahoma" w:hAnsi="Tahoma" w:cs="Tahoma"/>
          <w:sz w:val="24"/>
          <w:szCs w:val="24"/>
        </w:rPr>
        <w:t xml:space="preserve"> and Down</w:t>
      </w:r>
      <w:r w:rsidR="00DF3484" w:rsidRPr="003A54AA">
        <w:rPr>
          <w:rFonts w:ascii="Tahoma" w:hAnsi="Tahoma" w:cs="Tahoma"/>
          <w:sz w:val="24"/>
          <w:szCs w:val="24"/>
        </w:rPr>
        <w:t xml:space="preserve"> total</w:t>
      </w:r>
      <w:r w:rsidR="004A134D" w:rsidRPr="003A54AA">
        <w:rPr>
          <w:rFonts w:ascii="Tahoma" w:hAnsi="Tahoma" w:cs="Tahoma"/>
          <w:sz w:val="24"/>
          <w:szCs w:val="24"/>
        </w:rPr>
        <w:t xml:space="preserve"> area remaining)</w:t>
      </w:r>
      <w:r w:rsidR="00DF3484" w:rsidRPr="003A54AA">
        <w:rPr>
          <w:rFonts w:ascii="Tahoma" w:hAnsi="Tahoma" w:cs="Tahoma"/>
          <w:sz w:val="24"/>
          <w:szCs w:val="24"/>
        </w:rPr>
        <w:t xml:space="preserve"> </w:t>
      </w:r>
      <w:r w:rsidR="008A344E" w:rsidRPr="003A54AA">
        <w:rPr>
          <w:rFonts w:ascii="Tahoma" w:hAnsi="Tahoma" w:cs="Tahoma"/>
          <w:sz w:val="24"/>
          <w:szCs w:val="24"/>
        </w:rPr>
        <w:t>of employment/potential employment lan</w:t>
      </w:r>
      <w:r w:rsidR="003A314F" w:rsidRPr="003A54AA">
        <w:rPr>
          <w:rFonts w:ascii="Tahoma" w:hAnsi="Tahoma" w:cs="Tahoma"/>
          <w:sz w:val="24"/>
          <w:szCs w:val="24"/>
        </w:rPr>
        <w:t xml:space="preserve">d within Newry, </w:t>
      </w:r>
      <w:proofErr w:type="spellStart"/>
      <w:r w:rsidR="003A314F" w:rsidRPr="003A54AA">
        <w:rPr>
          <w:rFonts w:ascii="Tahoma" w:hAnsi="Tahoma" w:cs="Tahoma"/>
          <w:sz w:val="24"/>
          <w:szCs w:val="24"/>
        </w:rPr>
        <w:t>Mourne</w:t>
      </w:r>
      <w:proofErr w:type="spellEnd"/>
      <w:r w:rsidR="003A314F" w:rsidRPr="003A54AA">
        <w:rPr>
          <w:rFonts w:ascii="Tahoma" w:hAnsi="Tahoma" w:cs="Tahoma"/>
          <w:sz w:val="24"/>
          <w:szCs w:val="24"/>
        </w:rPr>
        <w:t xml:space="preserve"> and Down</w:t>
      </w:r>
      <w:r w:rsidR="008A344E" w:rsidRPr="003A54AA">
        <w:rPr>
          <w:rFonts w:ascii="Tahoma" w:hAnsi="Tahoma" w:cs="Tahoma"/>
          <w:sz w:val="24"/>
          <w:szCs w:val="24"/>
        </w:rPr>
        <w:t xml:space="preserve"> the higher projected figure of </w:t>
      </w:r>
      <w:r w:rsidR="00DA4B59" w:rsidRPr="003A54AA">
        <w:rPr>
          <w:rFonts w:ascii="Tahoma" w:hAnsi="Tahoma" w:cs="Tahoma"/>
          <w:b/>
          <w:sz w:val="24"/>
          <w:szCs w:val="24"/>
        </w:rPr>
        <w:t>169</w:t>
      </w:r>
      <w:r w:rsidR="000A27A5" w:rsidRPr="003A54AA">
        <w:rPr>
          <w:rFonts w:ascii="Tahoma" w:hAnsi="Tahoma" w:cs="Tahoma"/>
          <w:sz w:val="24"/>
          <w:szCs w:val="24"/>
        </w:rPr>
        <w:t xml:space="preserve"> hectares required</w:t>
      </w:r>
      <w:r w:rsidR="00281446" w:rsidRPr="003A54AA">
        <w:rPr>
          <w:rFonts w:ascii="Tahoma" w:hAnsi="Tahoma" w:cs="Tahoma"/>
          <w:sz w:val="24"/>
          <w:szCs w:val="24"/>
        </w:rPr>
        <w:t xml:space="preserve"> for 2015-2030</w:t>
      </w:r>
      <w:r w:rsidR="00DA4B59" w:rsidRPr="003A54AA">
        <w:rPr>
          <w:rFonts w:ascii="Tahoma" w:hAnsi="Tahoma" w:cs="Tahoma"/>
          <w:sz w:val="24"/>
          <w:szCs w:val="24"/>
        </w:rPr>
        <w:t xml:space="preserve"> is achievable</w:t>
      </w:r>
      <w:r w:rsidR="000E28D0" w:rsidRPr="003A54AA">
        <w:rPr>
          <w:rFonts w:ascii="Tahoma" w:hAnsi="Tahoma" w:cs="Tahoma"/>
          <w:sz w:val="24"/>
          <w:szCs w:val="24"/>
        </w:rPr>
        <w:t xml:space="preserve">. Furthermore </w:t>
      </w:r>
      <w:r w:rsidR="00407350" w:rsidRPr="003A54AA">
        <w:rPr>
          <w:rFonts w:ascii="Tahoma" w:hAnsi="Tahoma" w:cs="Tahoma"/>
          <w:sz w:val="24"/>
          <w:szCs w:val="24"/>
        </w:rPr>
        <w:t xml:space="preserve">most jobs will be in the service sector </w:t>
      </w:r>
      <w:r w:rsidR="005E10F4" w:rsidRPr="003A54AA">
        <w:rPr>
          <w:rFonts w:ascii="Tahoma" w:hAnsi="Tahoma" w:cs="Tahoma"/>
          <w:sz w:val="24"/>
          <w:szCs w:val="24"/>
        </w:rPr>
        <w:t>rather than on industrial</w:t>
      </w:r>
      <w:r w:rsidR="000E28D0" w:rsidRPr="003A54AA">
        <w:rPr>
          <w:rFonts w:ascii="Tahoma" w:hAnsi="Tahoma" w:cs="Tahoma"/>
          <w:sz w:val="24"/>
          <w:szCs w:val="24"/>
        </w:rPr>
        <w:t>-type estates. E</w:t>
      </w:r>
      <w:r w:rsidR="005E10F4" w:rsidRPr="003A54AA">
        <w:rPr>
          <w:rFonts w:ascii="Tahoma" w:hAnsi="Tahoma" w:cs="Tahoma"/>
          <w:sz w:val="24"/>
          <w:szCs w:val="24"/>
        </w:rPr>
        <w:t>mployment densities are greater in the service sector and most service jobs</w:t>
      </w:r>
      <w:r w:rsidR="00545BA0" w:rsidRPr="003A54AA">
        <w:rPr>
          <w:rFonts w:ascii="Tahoma" w:hAnsi="Tahoma" w:cs="Tahoma"/>
          <w:sz w:val="24"/>
          <w:szCs w:val="24"/>
        </w:rPr>
        <w:t xml:space="preserve"> </w:t>
      </w:r>
      <w:r w:rsidR="005E10F4" w:rsidRPr="003A54AA">
        <w:rPr>
          <w:rFonts w:ascii="Tahoma" w:hAnsi="Tahoma" w:cs="Tahoma"/>
          <w:sz w:val="24"/>
          <w:szCs w:val="24"/>
        </w:rPr>
        <w:t>are found in the town centre and other locations better suited for shops,</w:t>
      </w:r>
      <w:r w:rsidR="00545BA0" w:rsidRPr="003A54AA">
        <w:rPr>
          <w:rFonts w:ascii="Tahoma" w:hAnsi="Tahoma" w:cs="Tahoma"/>
          <w:sz w:val="24"/>
          <w:szCs w:val="24"/>
        </w:rPr>
        <w:t xml:space="preserve"> </w:t>
      </w:r>
      <w:r w:rsidR="005E10F4" w:rsidRPr="003A54AA">
        <w:rPr>
          <w:rFonts w:ascii="Tahoma" w:hAnsi="Tahoma" w:cs="Tahoma"/>
          <w:sz w:val="24"/>
          <w:szCs w:val="24"/>
        </w:rPr>
        <w:t>restaurants, offices, an</w:t>
      </w:r>
      <w:r w:rsidR="000E28D0" w:rsidRPr="003A54AA">
        <w:rPr>
          <w:rFonts w:ascii="Tahoma" w:hAnsi="Tahoma" w:cs="Tahoma"/>
          <w:sz w:val="24"/>
          <w:szCs w:val="24"/>
        </w:rPr>
        <w:t xml:space="preserve">d public and community services this will therefore reduce demand for sites within traditional industrial estates. </w:t>
      </w:r>
      <w:r w:rsidR="005E10F4" w:rsidRPr="003A54AA">
        <w:rPr>
          <w:rFonts w:ascii="Tahoma" w:hAnsi="Tahoma" w:cs="Tahoma"/>
          <w:sz w:val="24"/>
          <w:szCs w:val="24"/>
        </w:rPr>
        <w:t xml:space="preserve"> Employment will</w:t>
      </w:r>
      <w:r w:rsidR="00545BA0" w:rsidRPr="003A54AA">
        <w:rPr>
          <w:rFonts w:ascii="Tahoma" w:hAnsi="Tahoma" w:cs="Tahoma"/>
          <w:sz w:val="24"/>
          <w:szCs w:val="24"/>
        </w:rPr>
        <w:t xml:space="preserve"> </w:t>
      </w:r>
      <w:r w:rsidR="005E10F4" w:rsidRPr="003A54AA">
        <w:rPr>
          <w:rFonts w:ascii="Tahoma" w:hAnsi="Tahoma" w:cs="Tahoma"/>
          <w:sz w:val="24"/>
          <w:szCs w:val="24"/>
        </w:rPr>
        <w:t>also occur in some industrial activities associated with villages and as part of</w:t>
      </w:r>
      <w:r w:rsidR="00545BA0" w:rsidRPr="003A54AA">
        <w:rPr>
          <w:rFonts w:ascii="Tahoma" w:hAnsi="Tahoma" w:cs="Tahoma"/>
          <w:sz w:val="24"/>
          <w:szCs w:val="24"/>
        </w:rPr>
        <w:t xml:space="preserve"> </w:t>
      </w:r>
      <w:r w:rsidR="005E10F4" w:rsidRPr="003A54AA">
        <w:rPr>
          <w:rFonts w:ascii="Tahoma" w:hAnsi="Tahoma" w:cs="Tahoma"/>
          <w:sz w:val="24"/>
          <w:szCs w:val="24"/>
        </w:rPr>
        <w:t>farm diversification in the countryside.</w:t>
      </w:r>
    </w:p>
    <w:p w:rsidR="00545BA0" w:rsidRDefault="00545BA0" w:rsidP="005E10F4">
      <w:pPr>
        <w:autoSpaceDE w:val="0"/>
        <w:autoSpaceDN w:val="0"/>
        <w:adjustRightInd w:val="0"/>
        <w:spacing w:after="0" w:line="240" w:lineRule="auto"/>
        <w:rPr>
          <w:rFonts w:ascii="Arial" w:hAnsi="Arial" w:cs="Arial"/>
          <w:sz w:val="24"/>
          <w:szCs w:val="24"/>
        </w:rPr>
      </w:pPr>
    </w:p>
    <w:p w:rsidR="00545BA0" w:rsidRPr="003A54AA" w:rsidRDefault="00313304" w:rsidP="00185000">
      <w:pPr>
        <w:autoSpaceDE w:val="0"/>
        <w:autoSpaceDN w:val="0"/>
        <w:adjustRightInd w:val="0"/>
        <w:spacing w:after="0" w:line="240" w:lineRule="auto"/>
        <w:jc w:val="both"/>
        <w:rPr>
          <w:rFonts w:ascii="Tahoma" w:hAnsi="Tahoma" w:cs="Tahoma"/>
          <w:color w:val="FF0000"/>
          <w:sz w:val="24"/>
          <w:szCs w:val="24"/>
        </w:rPr>
      </w:pPr>
      <w:r w:rsidRPr="003A54AA">
        <w:rPr>
          <w:rFonts w:ascii="Tahoma" w:hAnsi="Tahoma" w:cs="Tahoma"/>
          <w:b/>
          <w:bCs/>
          <w:sz w:val="24"/>
          <w:szCs w:val="24"/>
        </w:rPr>
        <w:t>7</w:t>
      </w:r>
      <w:r w:rsidR="00545BA0" w:rsidRPr="003A54AA">
        <w:rPr>
          <w:rFonts w:ascii="Tahoma" w:hAnsi="Tahoma" w:cs="Tahoma"/>
          <w:b/>
          <w:bCs/>
          <w:sz w:val="24"/>
          <w:szCs w:val="24"/>
        </w:rPr>
        <w:t xml:space="preserve">.17 </w:t>
      </w:r>
      <w:r w:rsidR="003F2672">
        <w:rPr>
          <w:rFonts w:ascii="Tahoma" w:hAnsi="Tahoma" w:cs="Tahoma"/>
          <w:b/>
          <w:bCs/>
          <w:sz w:val="24"/>
          <w:szCs w:val="24"/>
        </w:rPr>
        <w:tab/>
      </w:r>
      <w:r w:rsidR="008A344E" w:rsidRPr="003A54AA">
        <w:rPr>
          <w:rFonts w:ascii="Tahoma" w:hAnsi="Tahoma" w:cs="Tahoma"/>
          <w:sz w:val="24"/>
          <w:szCs w:val="24"/>
        </w:rPr>
        <w:t xml:space="preserve">With approximately </w:t>
      </w:r>
      <w:r w:rsidR="00412139" w:rsidRPr="003A54AA">
        <w:rPr>
          <w:rFonts w:ascii="Tahoma" w:hAnsi="Tahoma" w:cs="Tahoma"/>
          <w:sz w:val="24"/>
          <w:szCs w:val="24"/>
        </w:rPr>
        <w:t>17</w:t>
      </w:r>
      <w:r w:rsidR="000B045C" w:rsidRPr="003A54AA">
        <w:rPr>
          <w:rFonts w:ascii="Tahoma" w:hAnsi="Tahoma" w:cs="Tahoma"/>
          <w:sz w:val="24"/>
          <w:szCs w:val="24"/>
        </w:rPr>
        <w:t>5</w:t>
      </w:r>
      <w:r w:rsidR="00273DA1" w:rsidRPr="003A54AA">
        <w:rPr>
          <w:rFonts w:ascii="Tahoma" w:hAnsi="Tahoma" w:cs="Tahoma"/>
          <w:sz w:val="24"/>
          <w:szCs w:val="24"/>
        </w:rPr>
        <w:t xml:space="preserve"> </w:t>
      </w:r>
      <w:r w:rsidR="00412139" w:rsidRPr="003A54AA">
        <w:rPr>
          <w:rFonts w:ascii="Tahoma" w:hAnsi="Tahoma" w:cs="Tahoma"/>
          <w:sz w:val="24"/>
          <w:szCs w:val="24"/>
        </w:rPr>
        <w:t xml:space="preserve">hectares of </w:t>
      </w:r>
      <w:r w:rsidR="00545BA0" w:rsidRPr="003A54AA">
        <w:rPr>
          <w:rFonts w:ascii="Tahoma" w:hAnsi="Tahoma" w:cs="Tahoma"/>
          <w:sz w:val="24"/>
          <w:szCs w:val="24"/>
        </w:rPr>
        <w:t xml:space="preserve">economic development land </w:t>
      </w:r>
      <w:r w:rsidR="008A344E" w:rsidRPr="003A54AA">
        <w:rPr>
          <w:rFonts w:ascii="Tahoma" w:hAnsi="Tahoma" w:cs="Tahoma"/>
          <w:sz w:val="24"/>
          <w:szCs w:val="24"/>
        </w:rPr>
        <w:t xml:space="preserve">remaining across Newry, </w:t>
      </w:r>
      <w:proofErr w:type="spellStart"/>
      <w:r w:rsidR="008A344E" w:rsidRPr="003A54AA">
        <w:rPr>
          <w:rFonts w:ascii="Tahoma" w:hAnsi="Tahoma" w:cs="Tahoma"/>
          <w:sz w:val="24"/>
          <w:szCs w:val="24"/>
        </w:rPr>
        <w:t>Mourne</w:t>
      </w:r>
      <w:proofErr w:type="spellEnd"/>
      <w:r w:rsidR="008A344E" w:rsidRPr="003A54AA">
        <w:rPr>
          <w:rFonts w:ascii="Tahoma" w:hAnsi="Tahoma" w:cs="Tahoma"/>
          <w:sz w:val="24"/>
          <w:szCs w:val="24"/>
        </w:rPr>
        <w:t xml:space="preserve"> and </w:t>
      </w:r>
      <w:proofErr w:type="gramStart"/>
      <w:r w:rsidR="008A344E" w:rsidRPr="003A54AA">
        <w:rPr>
          <w:rFonts w:ascii="Tahoma" w:hAnsi="Tahoma" w:cs="Tahoma"/>
          <w:sz w:val="24"/>
          <w:szCs w:val="24"/>
        </w:rPr>
        <w:t>Down</w:t>
      </w:r>
      <w:proofErr w:type="gramEnd"/>
      <w:r w:rsidR="000E28D0" w:rsidRPr="003A54AA">
        <w:rPr>
          <w:rFonts w:ascii="Tahoma" w:hAnsi="Tahoma" w:cs="Tahoma"/>
          <w:sz w:val="24"/>
          <w:szCs w:val="24"/>
        </w:rPr>
        <w:t xml:space="preserve">, there may be </w:t>
      </w:r>
      <w:r w:rsidR="00412139" w:rsidRPr="003A54AA">
        <w:rPr>
          <w:rFonts w:ascii="Tahoma" w:hAnsi="Tahoma" w:cs="Tahoma"/>
          <w:sz w:val="24"/>
          <w:szCs w:val="24"/>
        </w:rPr>
        <w:t>no immediate need to identify additional land</w:t>
      </w:r>
      <w:r w:rsidR="00545BA0" w:rsidRPr="003A54AA">
        <w:rPr>
          <w:rFonts w:ascii="Tahoma" w:hAnsi="Tahoma" w:cs="Tahoma"/>
          <w:sz w:val="24"/>
          <w:szCs w:val="24"/>
        </w:rPr>
        <w:t>.</w:t>
      </w:r>
      <w:r w:rsidR="00412139" w:rsidRPr="003A54AA">
        <w:rPr>
          <w:rFonts w:ascii="Tahoma" w:hAnsi="Tahoma" w:cs="Tahoma"/>
          <w:sz w:val="24"/>
          <w:szCs w:val="24"/>
        </w:rPr>
        <w:t xml:space="preserve"> </w:t>
      </w:r>
      <w:r w:rsidR="00AD3F43" w:rsidRPr="003A54AA">
        <w:rPr>
          <w:rFonts w:ascii="Tahoma" w:hAnsi="Tahoma" w:cs="Tahoma"/>
          <w:color w:val="FF0000"/>
          <w:sz w:val="24"/>
          <w:szCs w:val="24"/>
        </w:rPr>
        <w:t xml:space="preserve"> </w:t>
      </w:r>
      <w:r w:rsidR="00AD3F43" w:rsidRPr="003A54AA">
        <w:rPr>
          <w:rFonts w:ascii="Tahoma" w:hAnsi="Tahoma" w:cs="Tahoma"/>
          <w:sz w:val="24"/>
          <w:szCs w:val="24"/>
        </w:rPr>
        <w:t>However</w:t>
      </w:r>
      <w:r w:rsidR="00545BA0" w:rsidRPr="003A54AA">
        <w:rPr>
          <w:rFonts w:ascii="Tahoma" w:hAnsi="Tahoma" w:cs="Tahoma"/>
          <w:sz w:val="24"/>
          <w:szCs w:val="24"/>
        </w:rPr>
        <w:t>, in keeping with the RDS, there is a need to assess the ‘fitness for purpose’ including environmental implications of existing employment land provision. This will principally help to identify the ‘best’ employment sites to be retained and protected, replaced or released for other uses.</w:t>
      </w:r>
    </w:p>
    <w:p w:rsidR="00545BA0" w:rsidRPr="003A54AA" w:rsidRDefault="00545BA0" w:rsidP="00185000">
      <w:pPr>
        <w:autoSpaceDE w:val="0"/>
        <w:autoSpaceDN w:val="0"/>
        <w:adjustRightInd w:val="0"/>
        <w:spacing w:after="0" w:line="240" w:lineRule="auto"/>
        <w:jc w:val="both"/>
        <w:rPr>
          <w:rFonts w:ascii="Tahoma" w:hAnsi="Tahoma" w:cs="Tahoma"/>
          <w:b/>
          <w:bCs/>
          <w:sz w:val="24"/>
          <w:szCs w:val="24"/>
        </w:rPr>
      </w:pPr>
    </w:p>
    <w:p w:rsidR="00545BA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7</w:t>
      </w:r>
      <w:r w:rsidR="00545BA0" w:rsidRPr="003A54AA">
        <w:rPr>
          <w:rFonts w:ascii="Tahoma" w:hAnsi="Tahoma" w:cs="Tahoma"/>
          <w:b/>
          <w:bCs/>
          <w:sz w:val="24"/>
          <w:szCs w:val="24"/>
        </w:rPr>
        <w:t>.18</w:t>
      </w:r>
      <w:r w:rsidR="00545BA0" w:rsidRPr="003A54AA">
        <w:rPr>
          <w:rFonts w:ascii="Tahoma" w:hAnsi="Tahoma" w:cs="Tahoma"/>
          <w:b/>
          <w:bCs/>
          <w:color w:val="FF0000"/>
          <w:sz w:val="24"/>
          <w:szCs w:val="24"/>
        </w:rPr>
        <w:t xml:space="preserve"> </w:t>
      </w:r>
      <w:r w:rsidR="003F2672">
        <w:rPr>
          <w:rFonts w:ascii="Tahoma" w:hAnsi="Tahoma" w:cs="Tahoma"/>
          <w:b/>
          <w:bCs/>
          <w:color w:val="FF0000"/>
          <w:sz w:val="24"/>
          <w:szCs w:val="24"/>
        </w:rPr>
        <w:tab/>
      </w:r>
      <w:r w:rsidR="00545BA0" w:rsidRPr="003A54AA">
        <w:rPr>
          <w:rFonts w:ascii="Tahoma" w:hAnsi="Tahoma" w:cs="Tahoma"/>
          <w:sz w:val="24"/>
          <w:szCs w:val="24"/>
        </w:rPr>
        <w:t>The final technical supplement which will incorporate updates of the housing,</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population</w:t>
      </w:r>
      <w:proofErr w:type="gramEnd"/>
      <w:r w:rsidRPr="003A54AA">
        <w:rPr>
          <w:rFonts w:ascii="Tahoma" w:hAnsi="Tahoma" w:cs="Tahoma"/>
          <w:sz w:val="24"/>
          <w:szCs w:val="24"/>
        </w:rPr>
        <w:t xml:space="preserve"> and economic development papers, will show how this amount of economic development land can be allocated across the settlements. However, according to the RDS</w:t>
      </w:r>
      <w:r w:rsidR="00DA4B59" w:rsidRPr="003A54AA">
        <w:rPr>
          <w:rFonts w:ascii="Tahoma" w:hAnsi="Tahoma" w:cs="Tahoma"/>
          <w:sz w:val="24"/>
          <w:szCs w:val="24"/>
        </w:rPr>
        <w:t xml:space="preserve"> and the SPPS</w:t>
      </w:r>
      <w:r w:rsidRPr="003A54AA">
        <w:rPr>
          <w:rFonts w:ascii="Tahoma" w:hAnsi="Tahoma" w:cs="Tahoma"/>
          <w:sz w:val="24"/>
          <w:szCs w:val="24"/>
        </w:rPr>
        <w:t>, the focus of any allocation of economic development land should be within the main hubs. This does not exclude land zonings in the local towns and villages although normally land is not zoned in villages a</w:t>
      </w:r>
      <w:r w:rsidR="00D676E5" w:rsidRPr="003A54AA">
        <w:rPr>
          <w:rFonts w:ascii="Tahoma" w:hAnsi="Tahoma" w:cs="Tahoma"/>
          <w:sz w:val="24"/>
          <w:szCs w:val="24"/>
        </w:rPr>
        <w:t>s prevailing regional policy currently</w:t>
      </w:r>
      <w:r w:rsidRPr="003A54AA">
        <w:rPr>
          <w:rFonts w:ascii="Tahoma" w:hAnsi="Tahoma" w:cs="Tahoma"/>
          <w:sz w:val="24"/>
          <w:szCs w:val="24"/>
        </w:rPr>
        <w:t xml:space="preserve"> facilitate</w:t>
      </w:r>
      <w:r w:rsidR="00D676E5" w:rsidRPr="003A54AA">
        <w:rPr>
          <w:rFonts w:ascii="Tahoma" w:hAnsi="Tahoma" w:cs="Tahoma"/>
          <w:sz w:val="24"/>
          <w:szCs w:val="24"/>
        </w:rPr>
        <w:t>s</w:t>
      </w:r>
      <w:r w:rsidRPr="003A54AA">
        <w:rPr>
          <w:rFonts w:ascii="Tahoma" w:hAnsi="Tahoma" w:cs="Tahoma"/>
          <w:sz w:val="24"/>
          <w:szCs w:val="24"/>
        </w:rPr>
        <w:t xml:space="preserve"> development within and outside village settlement limits.</w:t>
      </w:r>
      <w:r w:rsidR="00DA4B59" w:rsidRPr="003A54AA">
        <w:rPr>
          <w:rFonts w:ascii="Tahoma" w:hAnsi="Tahoma" w:cs="Tahoma"/>
          <w:sz w:val="24"/>
          <w:szCs w:val="24"/>
        </w:rPr>
        <w:t xml:space="preserve"> The SPPS states that within villages and small settlements the LDP will not normally zone land for economic development purposes as this could inhibit flexibility.</w:t>
      </w:r>
    </w:p>
    <w:p w:rsidR="00545BA0" w:rsidRDefault="00545BA0" w:rsidP="00545BA0">
      <w:pPr>
        <w:autoSpaceDE w:val="0"/>
        <w:autoSpaceDN w:val="0"/>
        <w:adjustRightInd w:val="0"/>
        <w:spacing w:after="0" w:line="240" w:lineRule="auto"/>
        <w:rPr>
          <w:rFonts w:ascii="Tahoma" w:hAnsi="Tahoma" w:cs="Tahoma"/>
          <w:b/>
          <w:bCs/>
          <w:sz w:val="24"/>
          <w:szCs w:val="24"/>
        </w:rPr>
      </w:pPr>
    </w:p>
    <w:p w:rsidR="003F2672" w:rsidRDefault="003F2672" w:rsidP="00545BA0">
      <w:pPr>
        <w:autoSpaceDE w:val="0"/>
        <w:autoSpaceDN w:val="0"/>
        <w:adjustRightInd w:val="0"/>
        <w:spacing w:after="0" w:line="240" w:lineRule="auto"/>
        <w:rPr>
          <w:rFonts w:ascii="Tahoma" w:hAnsi="Tahoma" w:cs="Tahoma"/>
          <w:b/>
          <w:bCs/>
          <w:sz w:val="24"/>
          <w:szCs w:val="24"/>
        </w:rPr>
      </w:pPr>
    </w:p>
    <w:p w:rsidR="00C4706C" w:rsidRPr="003A54AA" w:rsidRDefault="00C4706C" w:rsidP="00545BA0">
      <w:pPr>
        <w:autoSpaceDE w:val="0"/>
        <w:autoSpaceDN w:val="0"/>
        <w:adjustRightInd w:val="0"/>
        <w:spacing w:after="0" w:line="240" w:lineRule="auto"/>
        <w:rPr>
          <w:rFonts w:ascii="Tahoma" w:hAnsi="Tahoma" w:cs="Tahoma"/>
          <w:b/>
          <w:bCs/>
          <w:sz w:val="24"/>
          <w:szCs w:val="24"/>
        </w:rPr>
      </w:pPr>
    </w:p>
    <w:p w:rsidR="007A3920" w:rsidRPr="003A54AA" w:rsidRDefault="00545425" w:rsidP="00185000">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lastRenderedPageBreak/>
        <w:t>7.19</w:t>
      </w:r>
      <w:r w:rsidR="007A3920" w:rsidRPr="003A54AA">
        <w:rPr>
          <w:rFonts w:ascii="Tahoma" w:hAnsi="Tahoma" w:cs="Tahoma"/>
          <w:sz w:val="24"/>
          <w:szCs w:val="24"/>
        </w:rPr>
        <w:t xml:space="preserve"> </w:t>
      </w:r>
      <w:r w:rsidR="003F2672">
        <w:rPr>
          <w:rFonts w:ascii="Tahoma" w:hAnsi="Tahoma" w:cs="Tahoma"/>
          <w:sz w:val="24"/>
          <w:szCs w:val="24"/>
        </w:rPr>
        <w:tab/>
      </w:r>
      <w:r w:rsidR="007A3920" w:rsidRPr="003A54AA">
        <w:rPr>
          <w:rFonts w:ascii="Tahoma" w:hAnsi="Tahoma" w:cs="Tahoma"/>
          <w:sz w:val="24"/>
          <w:szCs w:val="24"/>
        </w:rPr>
        <w:t>The three methods would suggest</w:t>
      </w:r>
      <w:r w:rsidR="002C17D6" w:rsidRPr="003A54AA">
        <w:rPr>
          <w:rFonts w:ascii="Tahoma" w:hAnsi="Tahoma" w:cs="Tahoma"/>
          <w:sz w:val="24"/>
          <w:szCs w:val="24"/>
        </w:rPr>
        <w:t xml:space="preserve"> the following employm</w:t>
      </w:r>
      <w:r w:rsidR="002F62EA">
        <w:rPr>
          <w:rFonts w:ascii="Tahoma" w:hAnsi="Tahoma" w:cs="Tahoma"/>
          <w:sz w:val="24"/>
          <w:szCs w:val="24"/>
        </w:rPr>
        <w:t xml:space="preserve">ent land requirement for the Newry, </w:t>
      </w:r>
      <w:proofErr w:type="spellStart"/>
      <w:r w:rsidR="002F62EA">
        <w:rPr>
          <w:rFonts w:ascii="Tahoma" w:hAnsi="Tahoma" w:cs="Tahoma"/>
          <w:sz w:val="24"/>
          <w:szCs w:val="24"/>
        </w:rPr>
        <w:t>Mourne</w:t>
      </w:r>
      <w:proofErr w:type="spellEnd"/>
      <w:r w:rsidR="002F62EA">
        <w:rPr>
          <w:rFonts w:ascii="Tahoma" w:hAnsi="Tahoma" w:cs="Tahoma"/>
          <w:sz w:val="24"/>
          <w:szCs w:val="24"/>
        </w:rPr>
        <w:t xml:space="preserve"> and </w:t>
      </w:r>
      <w:proofErr w:type="gramStart"/>
      <w:r w:rsidR="002F62EA">
        <w:rPr>
          <w:rFonts w:ascii="Tahoma" w:hAnsi="Tahoma" w:cs="Tahoma"/>
          <w:sz w:val="24"/>
          <w:szCs w:val="24"/>
        </w:rPr>
        <w:t>Down</w:t>
      </w:r>
      <w:proofErr w:type="gramEnd"/>
      <w:r w:rsidR="002C17D6" w:rsidRPr="003A54AA">
        <w:rPr>
          <w:rFonts w:ascii="Tahoma" w:hAnsi="Tahoma" w:cs="Tahoma"/>
          <w:sz w:val="24"/>
          <w:szCs w:val="24"/>
        </w:rPr>
        <w:t xml:space="preserve"> area from 2015 to 2030.</w:t>
      </w:r>
    </w:p>
    <w:p w:rsidR="002C17D6" w:rsidRPr="003A54AA" w:rsidRDefault="002C17D6" w:rsidP="00185000">
      <w:pPr>
        <w:autoSpaceDE w:val="0"/>
        <w:autoSpaceDN w:val="0"/>
        <w:adjustRightInd w:val="0"/>
        <w:spacing w:after="0" w:line="240" w:lineRule="auto"/>
        <w:jc w:val="both"/>
        <w:rPr>
          <w:rFonts w:ascii="Tahoma" w:hAnsi="Tahoma" w:cs="Tahoma"/>
          <w:sz w:val="24"/>
          <w:szCs w:val="24"/>
        </w:rPr>
      </w:pPr>
    </w:p>
    <w:p w:rsidR="002C17D6" w:rsidRPr="003A54AA" w:rsidRDefault="002C17D6" w:rsidP="00185000">
      <w:pPr>
        <w:pStyle w:val="ListParagraph"/>
        <w:numPr>
          <w:ilvl w:val="0"/>
          <w:numId w:val="8"/>
        </w:num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 xml:space="preserve">Based on the amount of land developed to date: </w:t>
      </w:r>
      <w:r w:rsidR="00983A2A" w:rsidRPr="003A54AA">
        <w:rPr>
          <w:rFonts w:ascii="Tahoma" w:hAnsi="Tahoma" w:cs="Tahoma"/>
          <w:sz w:val="24"/>
          <w:szCs w:val="24"/>
        </w:rPr>
        <w:t>28</w:t>
      </w:r>
      <w:r w:rsidRPr="003A54AA">
        <w:rPr>
          <w:rFonts w:ascii="Tahoma" w:hAnsi="Tahoma" w:cs="Tahoma"/>
          <w:sz w:val="24"/>
          <w:szCs w:val="24"/>
        </w:rPr>
        <w:t xml:space="preserve"> ha;</w:t>
      </w:r>
    </w:p>
    <w:p w:rsidR="002C17D6" w:rsidRPr="003A54AA" w:rsidRDefault="002C17D6" w:rsidP="00185000">
      <w:pPr>
        <w:pStyle w:val="ListParagraph"/>
        <w:numPr>
          <w:ilvl w:val="0"/>
          <w:numId w:val="8"/>
        </w:num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Based on population growth and unemployment: 166 ha;</w:t>
      </w:r>
    </w:p>
    <w:p w:rsidR="002C17D6" w:rsidRPr="003A54AA" w:rsidRDefault="002C17D6" w:rsidP="00185000">
      <w:pPr>
        <w:pStyle w:val="ListParagraph"/>
        <w:numPr>
          <w:ilvl w:val="0"/>
          <w:numId w:val="8"/>
        </w:num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Based on applying the average num</w:t>
      </w:r>
      <w:r w:rsidR="0013015A" w:rsidRPr="003A54AA">
        <w:rPr>
          <w:rFonts w:ascii="Tahoma" w:hAnsi="Tahoma" w:cs="Tahoma"/>
          <w:sz w:val="24"/>
          <w:szCs w:val="24"/>
        </w:rPr>
        <w:t>ber of jobs created between 1999</w:t>
      </w:r>
      <w:r w:rsidRPr="003A54AA">
        <w:rPr>
          <w:rFonts w:ascii="Tahoma" w:hAnsi="Tahoma" w:cs="Tahoma"/>
          <w:sz w:val="24"/>
          <w:szCs w:val="24"/>
        </w:rPr>
        <w:t xml:space="preserve"> and 2013: 1</w:t>
      </w:r>
      <w:r w:rsidR="0013015A" w:rsidRPr="003A54AA">
        <w:rPr>
          <w:rFonts w:ascii="Tahoma" w:hAnsi="Tahoma" w:cs="Tahoma"/>
          <w:sz w:val="24"/>
          <w:szCs w:val="24"/>
        </w:rPr>
        <w:t>69</w:t>
      </w:r>
      <w:r w:rsidRPr="003A54AA">
        <w:rPr>
          <w:rFonts w:ascii="Tahoma" w:hAnsi="Tahoma" w:cs="Tahoma"/>
          <w:sz w:val="24"/>
          <w:szCs w:val="24"/>
        </w:rPr>
        <w:t xml:space="preserve"> ha.</w:t>
      </w:r>
    </w:p>
    <w:p w:rsidR="002C17D6" w:rsidRDefault="002C17D6" w:rsidP="00185000">
      <w:pPr>
        <w:autoSpaceDE w:val="0"/>
        <w:autoSpaceDN w:val="0"/>
        <w:adjustRightInd w:val="0"/>
        <w:spacing w:after="0" w:line="240" w:lineRule="auto"/>
        <w:jc w:val="both"/>
        <w:rPr>
          <w:rFonts w:ascii="Arial" w:hAnsi="Arial" w:cs="Arial"/>
          <w:sz w:val="24"/>
          <w:szCs w:val="24"/>
        </w:rPr>
      </w:pPr>
    </w:p>
    <w:p w:rsidR="002C17D6" w:rsidRPr="003A54AA" w:rsidRDefault="002C17D6"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The Regional Development Strategy (RDS) directs that we should ‘ensure adequate supply of land to facilitate sustainable econom</w:t>
      </w:r>
      <w:r w:rsidR="0013015A" w:rsidRPr="003A54AA">
        <w:rPr>
          <w:rFonts w:ascii="Tahoma" w:hAnsi="Tahoma" w:cs="Tahoma"/>
          <w:sz w:val="24"/>
          <w:szCs w:val="24"/>
        </w:rPr>
        <w:t>ic growth and therefore method 3</w:t>
      </w:r>
      <w:r w:rsidRPr="003A54AA">
        <w:rPr>
          <w:rFonts w:ascii="Tahoma" w:hAnsi="Tahoma" w:cs="Tahoma"/>
          <w:sz w:val="24"/>
          <w:szCs w:val="24"/>
        </w:rPr>
        <w:t xml:space="preserve"> is considered the best option to offer a range and choice of sites in terms of size and location to promote flexibility and provide for the varying needs of different types of economic activity.</w:t>
      </w:r>
    </w:p>
    <w:p w:rsidR="00545BA0" w:rsidRDefault="00545BA0" w:rsidP="00545BA0">
      <w:pPr>
        <w:autoSpaceDE w:val="0"/>
        <w:autoSpaceDN w:val="0"/>
        <w:adjustRightInd w:val="0"/>
        <w:spacing w:after="0" w:line="240" w:lineRule="auto"/>
        <w:rPr>
          <w:rFonts w:ascii="Arial" w:hAnsi="Arial" w:cs="Arial"/>
          <w:b/>
          <w:bCs/>
          <w:sz w:val="28"/>
          <w:szCs w:val="28"/>
        </w:rPr>
      </w:pPr>
    </w:p>
    <w:p w:rsidR="00482EB1" w:rsidRDefault="00482EB1" w:rsidP="00545BA0">
      <w:pPr>
        <w:autoSpaceDE w:val="0"/>
        <w:autoSpaceDN w:val="0"/>
        <w:adjustRightInd w:val="0"/>
        <w:spacing w:after="0" w:line="240" w:lineRule="auto"/>
        <w:rPr>
          <w:rFonts w:ascii="Arial" w:hAnsi="Arial" w:cs="Arial"/>
          <w:b/>
          <w:bCs/>
          <w:sz w:val="28"/>
          <w:szCs w:val="28"/>
        </w:rPr>
      </w:pPr>
    </w:p>
    <w:p w:rsidR="003B7910" w:rsidRPr="003A54AA" w:rsidRDefault="00313304" w:rsidP="003B7910">
      <w:pPr>
        <w:autoSpaceDE w:val="0"/>
        <w:autoSpaceDN w:val="0"/>
        <w:adjustRightInd w:val="0"/>
        <w:spacing w:after="0" w:line="240" w:lineRule="auto"/>
        <w:rPr>
          <w:rFonts w:ascii="Tahoma" w:hAnsi="Tahoma" w:cs="Tahoma"/>
          <w:b/>
          <w:bCs/>
          <w:sz w:val="28"/>
          <w:szCs w:val="28"/>
        </w:rPr>
      </w:pPr>
      <w:r w:rsidRPr="003A54AA">
        <w:rPr>
          <w:rFonts w:ascii="Tahoma" w:hAnsi="Tahoma" w:cs="Tahoma"/>
          <w:b/>
          <w:bCs/>
          <w:sz w:val="28"/>
          <w:szCs w:val="28"/>
        </w:rPr>
        <w:t>8</w:t>
      </w:r>
      <w:r w:rsidR="003B7910" w:rsidRPr="003A54AA">
        <w:rPr>
          <w:rFonts w:ascii="Tahoma" w:hAnsi="Tahoma" w:cs="Tahoma"/>
          <w:b/>
          <w:bCs/>
          <w:sz w:val="28"/>
          <w:szCs w:val="28"/>
        </w:rPr>
        <w:t>.0 Allocating Economic Development Land</w:t>
      </w:r>
    </w:p>
    <w:p w:rsidR="003B7910" w:rsidRPr="003A54AA" w:rsidRDefault="003B7910" w:rsidP="003B7910">
      <w:pPr>
        <w:autoSpaceDE w:val="0"/>
        <w:autoSpaceDN w:val="0"/>
        <w:adjustRightInd w:val="0"/>
        <w:spacing w:after="0" w:line="240" w:lineRule="auto"/>
        <w:rPr>
          <w:rFonts w:ascii="Tahoma" w:hAnsi="Tahoma" w:cs="Tahoma"/>
          <w:b/>
          <w:bCs/>
          <w:sz w:val="24"/>
          <w:szCs w:val="24"/>
        </w:rPr>
      </w:pP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8</w:t>
      </w:r>
      <w:r w:rsidR="003B7910" w:rsidRPr="003A54AA">
        <w:rPr>
          <w:rFonts w:ascii="Tahoma" w:hAnsi="Tahoma" w:cs="Tahoma"/>
          <w:b/>
          <w:bCs/>
          <w:sz w:val="24"/>
          <w:szCs w:val="24"/>
        </w:rPr>
        <w:t xml:space="preserve">.1 </w:t>
      </w:r>
      <w:r w:rsidR="003F2672">
        <w:rPr>
          <w:rFonts w:ascii="Tahoma" w:hAnsi="Tahoma" w:cs="Tahoma"/>
          <w:b/>
          <w:bCs/>
          <w:sz w:val="24"/>
          <w:szCs w:val="24"/>
        </w:rPr>
        <w:tab/>
      </w:r>
      <w:r w:rsidR="003B7910" w:rsidRPr="003A54AA">
        <w:rPr>
          <w:rFonts w:ascii="Tahoma" w:hAnsi="Tahoma" w:cs="Tahoma"/>
          <w:sz w:val="24"/>
          <w:szCs w:val="24"/>
        </w:rPr>
        <w:t xml:space="preserve">In determining how much economic development land needed it is assumed that all new jobs will be in the secondary and tertiary sector. Growth in the primary sector is unlikely given that long term past trends suggest employment has been in decline. In Newry, </w:t>
      </w:r>
      <w:proofErr w:type="spellStart"/>
      <w:r w:rsidR="003B7910" w:rsidRPr="003A54AA">
        <w:rPr>
          <w:rFonts w:ascii="Tahoma" w:hAnsi="Tahoma" w:cs="Tahoma"/>
          <w:sz w:val="24"/>
          <w:szCs w:val="24"/>
        </w:rPr>
        <w:t>Mourne</w:t>
      </w:r>
      <w:proofErr w:type="spellEnd"/>
      <w:r w:rsidR="003B7910" w:rsidRPr="003A54AA">
        <w:rPr>
          <w:rFonts w:ascii="Tahoma" w:hAnsi="Tahoma" w:cs="Tahoma"/>
          <w:sz w:val="24"/>
          <w:szCs w:val="24"/>
        </w:rPr>
        <w:t xml:space="preserve"> </w:t>
      </w:r>
      <w:r w:rsidR="00D947F7" w:rsidRPr="003A54AA">
        <w:rPr>
          <w:rFonts w:ascii="Tahoma" w:hAnsi="Tahoma" w:cs="Tahoma"/>
          <w:sz w:val="24"/>
          <w:szCs w:val="24"/>
        </w:rPr>
        <w:t>the manuf</w:t>
      </w:r>
      <w:r w:rsidR="003B7910" w:rsidRPr="003A54AA">
        <w:rPr>
          <w:rFonts w:ascii="Tahoma" w:hAnsi="Tahoma" w:cs="Tahoma"/>
          <w:sz w:val="24"/>
          <w:szCs w:val="24"/>
        </w:rPr>
        <w:t>acturing</w:t>
      </w:r>
      <w:r w:rsidR="00D947F7" w:rsidRPr="003A54AA">
        <w:rPr>
          <w:rFonts w:ascii="Tahoma" w:hAnsi="Tahoma" w:cs="Tahoma"/>
          <w:sz w:val="24"/>
          <w:szCs w:val="24"/>
        </w:rPr>
        <w:t xml:space="preserve"> sector is still a significant employer, </w:t>
      </w:r>
      <w:r w:rsidR="003B7910" w:rsidRPr="003A54AA">
        <w:rPr>
          <w:rFonts w:ascii="Tahoma" w:hAnsi="Tahoma" w:cs="Tahoma"/>
          <w:sz w:val="24"/>
          <w:szCs w:val="24"/>
        </w:rPr>
        <w:t>and it is anticipated that this sector will still have a major role to play, complemented by exportable services such as IT, professional &amp; business services.</w:t>
      </w:r>
    </w:p>
    <w:p w:rsidR="003B7910" w:rsidRPr="003A54AA" w:rsidRDefault="003B7910" w:rsidP="00185000">
      <w:pPr>
        <w:autoSpaceDE w:val="0"/>
        <w:autoSpaceDN w:val="0"/>
        <w:adjustRightInd w:val="0"/>
        <w:spacing w:after="0" w:line="240" w:lineRule="auto"/>
        <w:jc w:val="both"/>
        <w:rPr>
          <w:rFonts w:ascii="Tahoma" w:hAnsi="Tahoma" w:cs="Tahoma"/>
          <w:b/>
          <w:bCs/>
          <w:sz w:val="24"/>
          <w:szCs w:val="24"/>
        </w:rPr>
      </w:pP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8</w:t>
      </w:r>
      <w:r w:rsidR="003B7910" w:rsidRPr="003A54AA">
        <w:rPr>
          <w:rFonts w:ascii="Tahoma" w:hAnsi="Tahoma" w:cs="Tahoma"/>
          <w:b/>
          <w:bCs/>
          <w:sz w:val="24"/>
          <w:szCs w:val="24"/>
        </w:rPr>
        <w:t xml:space="preserve">.2 </w:t>
      </w:r>
      <w:r w:rsidR="003F2672">
        <w:rPr>
          <w:rFonts w:ascii="Tahoma" w:hAnsi="Tahoma" w:cs="Tahoma"/>
          <w:b/>
          <w:bCs/>
          <w:sz w:val="24"/>
          <w:szCs w:val="24"/>
        </w:rPr>
        <w:tab/>
      </w:r>
      <w:r w:rsidR="003B7910" w:rsidRPr="003A54AA">
        <w:rPr>
          <w:rFonts w:ascii="Tahoma" w:hAnsi="Tahoma" w:cs="Tahoma"/>
          <w:sz w:val="24"/>
          <w:szCs w:val="24"/>
        </w:rPr>
        <w:t xml:space="preserve">As indicated if a minimum requirement of </w:t>
      </w:r>
      <w:r w:rsidR="0013015A" w:rsidRPr="003A54AA">
        <w:rPr>
          <w:rFonts w:ascii="Tahoma" w:hAnsi="Tahoma" w:cs="Tahoma"/>
          <w:sz w:val="24"/>
          <w:szCs w:val="24"/>
        </w:rPr>
        <w:t>169</w:t>
      </w:r>
      <w:r w:rsidR="003B7910" w:rsidRPr="003A54AA">
        <w:rPr>
          <w:rFonts w:ascii="Tahoma" w:hAnsi="Tahoma" w:cs="Tahoma"/>
          <w:sz w:val="24"/>
          <w:szCs w:val="24"/>
        </w:rPr>
        <w:t xml:space="preserve"> hectares of economic</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development</w:t>
      </w:r>
      <w:proofErr w:type="gramEnd"/>
      <w:r w:rsidRPr="003A54AA">
        <w:rPr>
          <w:rFonts w:ascii="Tahoma" w:hAnsi="Tahoma" w:cs="Tahoma"/>
          <w:sz w:val="24"/>
          <w:szCs w:val="24"/>
        </w:rPr>
        <w:t xml:space="preserve"> land is applied  it will provide a degree of flexibility. It assumes all new jobs will be on zoned land, which of course will not be the case. Increases in employment can also o</w:t>
      </w:r>
      <w:r w:rsidR="00D947F7" w:rsidRPr="003A54AA">
        <w:rPr>
          <w:rFonts w:ascii="Tahoma" w:hAnsi="Tahoma" w:cs="Tahoma"/>
          <w:sz w:val="24"/>
          <w:szCs w:val="24"/>
        </w:rPr>
        <w:t xml:space="preserve">ccur in town centres, and other </w:t>
      </w:r>
      <w:r w:rsidRPr="003A54AA">
        <w:rPr>
          <w:rFonts w:ascii="Tahoma" w:hAnsi="Tahoma" w:cs="Tahoma"/>
          <w:sz w:val="24"/>
          <w:szCs w:val="24"/>
        </w:rPr>
        <w:t>mixed use areas and other buildings within t</w:t>
      </w:r>
      <w:r w:rsidR="00D947F7" w:rsidRPr="003A54AA">
        <w:rPr>
          <w:rFonts w:ascii="Tahoma" w:hAnsi="Tahoma" w:cs="Tahoma"/>
          <w:sz w:val="24"/>
          <w:szCs w:val="24"/>
        </w:rPr>
        <w:t xml:space="preserve">he town and as a result of home </w:t>
      </w:r>
      <w:r w:rsidRPr="003A54AA">
        <w:rPr>
          <w:rFonts w:ascii="Tahoma" w:hAnsi="Tahoma" w:cs="Tahoma"/>
          <w:sz w:val="24"/>
          <w:szCs w:val="24"/>
        </w:rPr>
        <w:t xml:space="preserve">working and farm diversification. Employment </w:t>
      </w:r>
      <w:r w:rsidR="00D947F7" w:rsidRPr="003A54AA">
        <w:rPr>
          <w:rFonts w:ascii="Tahoma" w:hAnsi="Tahoma" w:cs="Tahoma"/>
          <w:sz w:val="24"/>
          <w:szCs w:val="24"/>
        </w:rPr>
        <w:t xml:space="preserve">densities in existing buildings </w:t>
      </w:r>
      <w:r w:rsidRPr="003A54AA">
        <w:rPr>
          <w:rFonts w:ascii="Tahoma" w:hAnsi="Tahoma" w:cs="Tahoma"/>
          <w:sz w:val="24"/>
          <w:szCs w:val="24"/>
        </w:rPr>
        <w:t>and in terms of land use may also increase. Oxford Economics identifies that many new jobs will be knowledge based. In</w:t>
      </w:r>
      <w:r w:rsidR="00D947F7" w:rsidRPr="003A54AA">
        <w:rPr>
          <w:rFonts w:ascii="Tahoma" w:hAnsi="Tahoma" w:cs="Tahoma"/>
          <w:sz w:val="24"/>
          <w:szCs w:val="24"/>
        </w:rPr>
        <w:t xml:space="preserve"> England where call centres can </w:t>
      </w:r>
      <w:r w:rsidRPr="003A54AA">
        <w:rPr>
          <w:rFonts w:ascii="Tahoma" w:hAnsi="Tahoma" w:cs="Tahoma"/>
          <w:sz w:val="24"/>
          <w:szCs w:val="24"/>
        </w:rPr>
        <w:t>occupy much of an industrial estate, employme</w:t>
      </w:r>
      <w:r w:rsidR="00D947F7" w:rsidRPr="003A54AA">
        <w:rPr>
          <w:rFonts w:ascii="Tahoma" w:hAnsi="Tahoma" w:cs="Tahoma"/>
          <w:sz w:val="24"/>
          <w:szCs w:val="24"/>
        </w:rPr>
        <w:t xml:space="preserve">nt densities of 200 jobs per ha </w:t>
      </w:r>
      <w:r w:rsidRPr="003A54AA">
        <w:rPr>
          <w:rFonts w:ascii="Tahoma" w:hAnsi="Tahoma" w:cs="Tahoma"/>
          <w:sz w:val="24"/>
          <w:szCs w:val="24"/>
        </w:rPr>
        <w:t xml:space="preserve">are common (Belfast Metropolitan </w:t>
      </w:r>
      <w:r w:rsidR="00D947F7" w:rsidRPr="003A54AA">
        <w:rPr>
          <w:rFonts w:ascii="Tahoma" w:hAnsi="Tahoma" w:cs="Tahoma"/>
          <w:sz w:val="24"/>
          <w:szCs w:val="24"/>
        </w:rPr>
        <w:t xml:space="preserve">Area Plan back ground studies). </w:t>
      </w:r>
      <w:r w:rsidRPr="003A54AA">
        <w:rPr>
          <w:rFonts w:ascii="Tahoma" w:hAnsi="Tahoma" w:cs="Tahoma"/>
          <w:sz w:val="24"/>
          <w:szCs w:val="24"/>
        </w:rPr>
        <w:t xml:space="preserve">Accordingly </w:t>
      </w:r>
      <w:r w:rsidR="0013015A" w:rsidRPr="003A54AA">
        <w:rPr>
          <w:rFonts w:ascii="Tahoma" w:hAnsi="Tahoma" w:cs="Tahoma"/>
          <w:sz w:val="24"/>
          <w:szCs w:val="24"/>
        </w:rPr>
        <w:t>169</w:t>
      </w:r>
      <w:r w:rsidRPr="003A54AA">
        <w:rPr>
          <w:rFonts w:ascii="Tahoma" w:hAnsi="Tahoma" w:cs="Tahoma"/>
          <w:sz w:val="24"/>
          <w:szCs w:val="24"/>
        </w:rPr>
        <w:t xml:space="preserve"> hectares will inevitably re</w:t>
      </w:r>
      <w:r w:rsidR="00D947F7" w:rsidRPr="003A54AA">
        <w:rPr>
          <w:rFonts w:ascii="Tahoma" w:hAnsi="Tahoma" w:cs="Tahoma"/>
          <w:sz w:val="24"/>
          <w:szCs w:val="24"/>
        </w:rPr>
        <w:t xml:space="preserve">sult in a degree of over zoning </w:t>
      </w:r>
      <w:r w:rsidRPr="003A54AA">
        <w:rPr>
          <w:rFonts w:ascii="Tahoma" w:hAnsi="Tahoma" w:cs="Tahoma"/>
          <w:sz w:val="24"/>
          <w:szCs w:val="24"/>
        </w:rPr>
        <w:t>allowing the plan to provide a choice of sites at different locations and of</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different</w:t>
      </w:r>
      <w:proofErr w:type="gramEnd"/>
      <w:r w:rsidRPr="003A54AA">
        <w:rPr>
          <w:rFonts w:ascii="Tahoma" w:hAnsi="Tahoma" w:cs="Tahoma"/>
          <w:sz w:val="24"/>
          <w:szCs w:val="24"/>
        </w:rPr>
        <w:t xml:space="preserve"> sizes to encourage and aid economic growth.</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8</w:t>
      </w:r>
      <w:r w:rsidR="003B7910" w:rsidRPr="003A54AA">
        <w:rPr>
          <w:rFonts w:ascii="Tahoma" w:hAnsi="Tahoma" w:cs="Tahoma"/>
          <w:b/>
          <w:bCs/>
          <w:sz w:val="24"/>
          <w:szCs w:val="24"/>
        </w:rPr>
        <w:t xml:space="preserve">.3 </w:t>
      </w:r>
      <w:r w:rsidR="003F2672">
        <w:rPr>
          <w:rFonts w:ascii="Tahoma" w:hAnsi="Tahoma" w:cs="Tahoma"/>
          <w:b/>
          <w:bCs/>
          <w:sz w:val="24"/>
          <w:szCs w:val="24"/>
        </w:rPr>
        <w:tab/>
      </w:r>
      <w:r w:rsidR="003B7910" w:rsidRPr="003A54AA">
        <w:rPr>
          <w:rFonts w:ascii="Tahoma" w:hAnsi="Tahoma" w:cs="Tahoma"/>
          <w:sz w:val="24"/>
          <w:szCs w:val="24"/>
        </w:rPr>
        <w:t>In considering how these sites should be allocated across settlements, the</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 xml:space="preserve">RDS makes it clear that the hubs should be the focus of growth. </w:t>
      </w:r>
      <w:r w:rsidR="00D947F7" w:rsidRPr="003A54AA">
        <w:rPr>
          <w:rFonts w:ascii="Tahoma" w:hAnsi="Tahoma" w:cs="Tahoma"/>
          <w:sz w:val="24"/>
          <w:szCs w:val="24"/>
        </w:rPr>
        <w:t>Newry and Downpatrick are the</w:t>
      </w:r>
      <w:r w:rsidRPr="003A54AA">
        <w:rPr>
          <w:rFonts w:ascii="Tahoma" w:hAnsi="Tahoma" w:cs="Tahoma"/>
          <w:sz w:val="24"/>
          <w:szCs w:val="24"/>
        </w:rPr>
        <w:t xml:space="preserve"> main hubs, although it does not exc</w:t>
      </w:r>
      <w:r w:rsidR="004E5997" w:rsidRPr="003A54AA">
        <w:rPr>
          <w:rFonts w:ascii="Tahoma" w:hAnsi="Tahoma" w:cs="Tahoma"/>
          <w:sz w:val="24"/>
          <w:szCs w:val="24"/>
        </w:rPr>
        <w:t>lude zonings in other locations. C</w:t>
      </w:r>
      <w:r w:rsidRPr="003A54AA">
        <w:rPr>
          <w:rFonts w:ascii="Tahoma" w:hAnsi="Tahoma" w:cs="Tahoma"/>
          <w:sz w:val="24"/>
          <w:szCs w:val="24"/>
        </w:rPr>
        <w:t xml:space="preserve">areful consideration needs to be given to how the minimum figure is apportioned. Given the clear direction of regional policy it is suggested that the minimum figure </w:t>
      </w:r>
      <w:r w:rsidR="004E5997" w:rsidRPr="003A54AA">
        <w:rPr>
          <w:rFonts w:ascii="Tahoma" w:hAnsi="Tahoma" w:cs="Tahoma"/>
          <w:sz w:val="24"/>
          <w:szCs w:val="24"/>
        </w:rPr>
        <w:t>is distributed between Newry</w:t>
      </w:r>
      <w:r w:rsidRPr="003A54AA">
        <w:rPr>
          <w:rFonts w:ascii="Tahoma" w:hAnsi="Tahoma" w:cs="Tahoma"/>
          <w:sz w:val="24"/>
          <w:szCs w:val="24"/>
        </w:rPr>
        <w:t xml:space="preserve"> </w:t>
      </w:r>
      <w:r w:rsidR="004E5997" w:rsidRPr="003A54AA">
        <w:rPr>
          <w:rFonts w:ascii="Tahoma" w:hAnsi="Tahoma" w:cs="Tahoma"/>
          <w:sz w:val="24"/>
          <w:szCs w:val="24"/>
        </w:rPr>
        <w:t xml:space="preserve">and main </w:t>
      </w:r>
      <w:r w:rsidRPr="003A54AA">
        <w:rPr>
          <w:rFonts w:ascii="Tahoma" w:hAnsi="Tahoma" w:cs="Tahoma"/>
          <w:sz w:val="24"/>
          <w:szCs w:val="24"/>
        </w:rPr>
        <w:t>towns based on one of the following three options.</w:t>
      </w:r>
      <w:r w:rsidRPr="003A54AA">
        <w:rPr>
          <w:rFonts w:ascii="Tahoma" w:hAnsi="Tahoma" w:cs="Tahoma"/>
          <w:sz w:val="24"/>
          <w:szCs w:val="24"/>
        </w:rPr>
        <w:tab/>
      </w:r>
    </w:p>
    <w:p w:rsidR="003B7910" w:rsidRDefault="003B7910" w:rsidP="00185000">
      <w:pPr>
        <w:tabs>
          <w:tab w:val="left" w:pos="7535"/>
        </w:tabs>
        <w:autoSpaceDE w:val="0"/>
        <w:autoSpaceDN w:val="0"/>
        <w:adjustRightInd w:val="0"/>
        <w:spacing w:after="0" w:line="240" w:lineRule="auto"/>
        <w:jc w:val="both"/>
        <w:rPr>
          <w:rFonts w:ascii="Tahoma" w:hAnsi="Tahoma" w:cs="Tahoma"/>
          <w:sz w:val="24"/>
          <w:szCs w:val="24"/>
        </w:rPr>
      </w:pPr>
    </w:p>
    <w:p w:rsidR="00402925" w:rsidRDefault="00402925" w:rsidP="00185000">
      <w:pPr>
        <w:tabs>
          <w:tab w:val="left" w:pos="7535"/>
        </w:tabs>
        <w:autoSpaceDE w:val="0"/>
        <w:autoSpaceDN w:val="0"/>
        <w:adjustRightInd w:val="0"/>
        <w:spacing w:after="0" w:line="240" w:lineRule="auto"/>
        <w:jc w:val="both"/>
        <w:rPr>
          <w:rFonts w:ascii="Tahoma" w:hAnsi="Tahoma" w:cs="Tahoma"/>
          <w:sz w:val="24"/>
          <w:szCs w:val="24"/>
        </w:rPr>
      </w:pPr>
    </w:p>
    <w:p w:rsidR="00402925" w:rsidRPr="003A54AA" w:rsidRDefault="00402925" w:rsidP="00185000">
      <w:pPr>
        <w:tabs>
          <w:tab w:val="left" w:pos="7535"/>
        </w:tabs>
        <w:autoSpaceDE w:val="0"/>
        <w:autoSpaceDN w:val="0"/>
        <w:adjustRightInd w:val="0"/>
        <w:spacing w:after="0" w:line="240" w:lineRule="auto"/>
        <w:jc w:val="both"/>
        <w:rPr>
          <w:rFonts w:ascii="Tahoma" w:hAnsi="Tahoma" w:cs="Tahoma"/>
          <w:sz w:val="24"/>
          <w:szCs w:val="24"/>
        </w:rPr>
      </w:pPr>
    </w:p>
    <w:p w:rsidR="003B7910" w:rsidRPr="003A54AA" w:rsidRDefault="003B7910" w:rsidP="00185000">
      <w:pPr>
        <w:autoSpaceDE w:val="0"/>
        <w:autoSpaceDN w:val="0"/>
        <w:adjustRightInd w:val="0"/>
        <w:spacing w:after="0" w:line="240" w:lineRule="auto"/>
        <w:jc w:val="both"/>
        <w:rPr>
          <w:rFonts w:ascii="Tahoma" w:hAnsi="Tahoma" w:cs="Tahoma"/>
          <w:i/>
          <w:iCs/>
          <w:sz w:val="24"/>
          <w:szCs w:val="24"/>
        </w:rPr>
      </w:pPr>
      <w:r w:rsidRPr="003A54AA">
        <w:rPr>
          <w:rFonts w:ascii="Tahoma" w:hAnsi="Tahoma" w:cs="Tahoma"/>
          <w:i/>
          <w:iCs/>
          <w:sz w:val="24"/>
          <w:szCs w:val="24"/>
        </w:rPr>
        <w:lastRenderedPageBreak/>
        <w:t>Option One: Equal Share</w:t>
      </w: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sz w:val="24"/>
          <w:szCs w:val="24"/>
        </w:rPr>
        <w:t>8</w:t>
      </w:r>
      <w:r w:rsidR="00450DE5" w:rsidRPr="003A54AA">
        <w:rPr>
          <w:rFonts w:ascii="Tahoma" w:hAnsi="Tahoma" w:cs="Tahoma"/>
          <w:b/>
          <w:sz w:val="24"/>
          <w:szCs w:val="24"/>
        </w:rPr>
        <w:t>.4</w:t>
      </w:r>
      <w:r w:rsidR="00450DE5" w:rsidRPr="003A54AA">
        <w:rPr>
          <w:rFonts w:ascii="Tahoma" w:hAnsi="Tahoma" w:cs="Tahoma"/>
          <w:sz w:val="24"/>
          <w:szCs w:val="24"/>
        </w:rPr>
        <w:t xml:space="preserve"> </w:t>
      </w:r>
      <w:r w:rsidR="003F2672">
        <w:rPr>
          <w:rFonts w:ascii="Tahoma" w:hAnsi="Tahoma" w:cs="Tahoma"/>
          <w:sz w:val="24"/>
          <w:szCs w:val="24"/>
        </w:rPr>
        <w:tab/>
      </w:r>
      <w:r w:rsidR="003B7910" w:rsidRPr="003A54AA">
        <w:rPr>
          <w:rFonts w:ascii="Tahoma" w:hAnsi="Tahoma" w:cs="Tahoma"/>
          <w:sz w:val="24"/>
          <w:szCs w:val="24"/>
        </w:rPr>
        <w:t xml:space="preserve">Provide each of the main hubs an equal share aiming to provide around </w:t>
      </w:r>
      <w:r w:rsidR="0013015A" w:rsidRPr="003A54AA">
        <w:rPr>
          <w:rFonts w:ascii="Tahoma" w:hAnsi="Tahoma" w:cs="Tahoma"/>
          <w:sz w:val="24"/>
          <w:szCs w:val="24"/>
        </w:rPr>
        <w:t>84.5</w:t>
      </w:r>
    </w:p>
    <w:p w:rsidR="003B7910" w:rsidRPr="003A54AA" w:rsidRDefault="00B61766"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hectares</w:t>
      </w:r>
      <w:proofErr w:type="gramEnd"/>
      <w:r w:rsidRPr="003A54AA">
        <w:rPr>
          <w:rFonts w:ascii="Tahoma" w:hAnsi="Tahoma" w:cs="Tahoma"/>
          <w:sz w:val="24"/>
          <w:szCs w:val="24"/>
        </w:rPr>
        <w:t xml:space="preserve"> minimum in each</w:t>
      </w:r>
      <w:r w:rsidR="003B7910" w:rsidRPr="003A54AA">
        <w:rPr>
          <w:rFonts w:ascii="Tahoma" w:hAnsi="Tahoma" w:cs="Tahoma"/>
          <w:sz w:val="24"/>
          <w:szCs w:val="24"/>
        </w:rPr>
        <w:t xml:space="preserve"> hub. The benefit of this approach is t</w:t>
      </w:r>
      <w:r w:rsidR="00185000">
        <w:rPr>
          <w:rFonts w:ascii="Tahoma" w:hAnsi="Tahoma" w:cs="Tahoma"/>
          <w:sz w:val="24"/>
          <w:szCs w:val="24"/>
        </w:rPr>
        <w:t xml:space="preserve">hat it treats </w:t>
      </w:r>
      <w:r w:rsidR="00450DE5" w:rsidRPr="003A54AA">
        <w:rPr>
          <w:rFonts w:ascii="Tahoma" w:hAnsi="Tahoma" w:cs="Tahoma"/>
          <w:sz w:val="24"/>
          <w:szCs w:val="24"/>
        </w:rPr>
        <w:t>each hub</w:t>
      </w:r>
      <w:r w:rsidR="003B7910" w:rsidRPr="003A54AA">
        <w:rPr>
          <w:rFonts w:ascii="Tahoma" w:hAnsi="Tahoma" w:cs="Tahoma"/>
          <w:sz w:val="24"/>
          <w:szCs w:val="24"/>
        </w:rPr>
        <w:t xml:space="preserve"> equally, whi</w:t>
      </w:r>
      <w:r w:rsidR="00A00AF7" w:rsidRPr="003A54AA">
        <w:rPr>
          <w:rFonts w:ascii="Tahoma" w:hAnsi="Tahoma" w:cs="Tahoma"/>
          <w:sz w:val="24"/>
          <w:szCs w:val="24"/>
        </w:rPr>
        <w:t>ch could be of benefit to Downpatrick</w:t>
      </w:r>
      <w:r w:rsidR="003B7910" w:rsidRPr="003A54AA">
        <w:rPr>
          <w:rFonts w:ascii="Tahoma" w:hAnsi="Tahoma" w:cs="Tahoma"/>
          <w:sz w:val="24"/>
          <w:szCs w:val="24"/>
        </w:rPr>
        <w:t xml:space="preserve"> by offering a greater range &amp; choice, but in turn could significan</w:t>
      </w:r>
      <w:r w:rsidR="00A00AF7" w:rsidRPr="003A54AA">
        <w:rPr>
          <w:rFonts w:ascii="Tahoma" w:hAnsi="Tahoma" w:cs="Tahoma"/>
          <w:sz w:val="24"/>
          <w:szCs w:val="24"/>
        </w:rPr>
        <w:t>tly restrain growth in Newry</w:t>
      </w:r>
      <w:r w:rsidR="003B7910" w:rsidRPr="003A54AA">
        <w:rPr>
          <w:rFonts w:ascii="Tahoma" w:hAnsi="Tahoma" w:cs="Tahoma"/>
          <w:sz w:val="24"/>
          <w:szCs w:val="24"/>
        </w:rPr>
        <w:t xml:space="preserve"> in comparison to current sites on offer at present.</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p>
    <w:p w:rsidR="003B7910" w:rsidRPr="003A54AA" w:rsidRDefault="003B7910" w:rsidP="00185000">
      <w:pPr>
        <w:autoSpaceDE w:val="0"/>
        <w:autoSpaceDN w:val="0"/>
        <w:adjustRightInd w:val="0"/>
        <w:spacing w:after="0" w:line="240" w:lineRule="auto"/>
        <w:jc w:val="both"/>
        <w:rPr>
          <w:rFonts w:ascii="Tahoma" w:hAnsi="Tahoma" w:cs="Tahoma"/>
          <w:i/>
          <w:iCs/>
          <w:sz w:val="24"/>
          <w:szCs w:val="24"/>
        </w:rPr>
      </w:pPr>
      <w:r w:rsidRPr="003A54AA">
        <w:rPr>
          <w:rFonts w:ascii="Tahoma" w:hAnsi="Tahoma" w:cs="Tahoma"/>
          <w:i/>
          <w:iCs/>
          <w:sz w:val="24"/>
          <w:szCs w:val="24"/>
        </w:rPr>
        <w:t>Option Two: District Hinterlands and Catchment</w:t>
      </w: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sz w:val="24"/>
          <w:szCs w:val="24"/>
        </w:rPr>
        <w:t>8</w:t>
      </w:r>
      <w:r w:rsidR="00450DE5" w:rsidRPr="003A54AA">
        <w:rPr>
          <w:rFonts w:ascii="Tahoma" w:hAnsi="Tahoma" w:cs="Tahoma"/>
          <w:b/>
          <w:sz w:val="24"/>
          <w:szCs w:val="24"/>
        </w:rPr>
        <w:t>.5</w:t>
      </w:r>
      <w:r w:rsidR="004E5997" w:rsidRPr="003A54AA">
        <w:rPr>
          <w:rFonts w:ascii="Tahoma" w:hAnsi="Tahoma" w:cs="Tahoma"/>
          <w:sz w:val="24"/>
          <w:szCs w:val="24"/>
        </w:rPr>
        <w:t xml:space="preserve"> </w:t>
      </w:r>
      <w:r w:rsidR="003F2672">
        <w:rPr>
          <w:rFonts w:ascii="Tahoma" w:hAnsi="Tahoma" w:cs="Tahoma"/>
          <w:sz w:val="24"/>
          <w:szCs w:val="24"/>
        </w:rPr>
        <w:tab/>
      </w:r>
      <w:r w:rsidR="003B7910" w:rsidRPr="003A54AA">
        <w:rPr>
          <w:rFonts w:ascii="Tahoma" w:hAnsi="Tahoma" w:cs="Tahoma"/>
          <w:sz w:val="24"/>
          <w:szCs w:val="24"/>
        </w:rPr>
        <w:t>Assuming the former council districts broadly coincided with their hinterlands</w:t>
      </w:r>
    </w:p>
    <w:p w:rsidR="003B7910" w:rsidRPr="003A54AA" w:rsidRDefault="003B791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it</w:t>
      </w:r>
      <w:proofErr w:type="gramEnd"/>
      <w:r w:rsidRPr="003A54AA">
        <w:rPr>
          <w:rFonts w:ascii="Tahoma" w:hAnsi="Tahoma" w:cs="Tahoma"/>
          <w:sz w:val="24"/>
          <w:szCs w:val="24"/>
        </w:rPr>
        <w:t xml:space="preserve"> is possible to proportion growth provi</w:t>
      </w:r>
      <w:r w:rsidR="00D43123" w:rsidRPr="003A54AA">
        <w:rPr>
          <w:rFonts w:ascii="Tahoma" w:hAnsi="Tahoma" w:cs="Tahoma"/>
          <w:sz w:val="24"/>
          <w:szCs w:val="24"/>
        </w:rPr>
        <w:t xml:space="preserve">ding regard to catchment. In Newry, </w:t>
      </w:r>
      <w:proofErr w:type="spellStart"/>
      <w:r w:rsidR="00D43123" w:rsidRPr="003A54AA">
        <w:rPr>
          <w:rFonts w:ascii="Tahoma" w:hAnsi="Tahoma" w:cs="Tahoma"/>
          <w:sz w:val="24"/>
          <w:szCs w:val="24"/>
        </w:rPr>
        <w:t>Mourne</w:t>
      </w:r>
      <w:proofErr w:type="spellEnd"/>
      <w:r w:rsidR="00D43123" w:rsidRPr="003A54AA">
        <w:rPr>
          <w:rFonts w:ascii="Tahoma" w:hAnsi="Tahoma" w:cs="Tahoma"/>
          <w:sz w:val="24"/>
          <w:szCs w:val="24"/>
        </w:rPr>
        <w:t xml:space="preserve"> and Down </w:t>
      </w:r>
      <w:r w:rsidRPr="003A54AA">
        <w:rPr>
          <w:rFonts w:ascii="Tahoma" w:hAnsi="Tahoma" w:cs="Tahoma"/>
          <w:sz w:val="24"/>
          <w:szCs w:val="24"/>
        </w:rPr>
        <w:t>the former districts pop</w:t>
      </w:r>
      <w:r w:rsidR="00C001DD" w:rsidRPr="003A54AA">
        <w:rPr>
          <w:rFonts w:ascii="Tahoma" w:hAnsi="Tahoma" w:cs="Tahoma"/>
          <w:sz w:val="24"/>
          <w:szCs w:val="24"/>
        </w:rPr>
        <w:t>ulation equated as 58.8</w:t>
      </w:r>
      <w:r w:rsidR="00D43123" w:rsidRPr="003A54AA">
        <w:rPr>
          <w:rFonts w:ascii="Tahoma" w:hAnsi="Tahoma" w:cs="Tahoma"/>
          <w:sz w:val="24"/>
          <w:szCs w:val="24"/>
        </w:rPr>
        <w:t xml:space="preserve">% Newry &amp; </w:t>
      </w:r>
      <w:proofErr w:type="spellStart"/>
      <w:r w:rsidR="00D43123" w:rsidRPr="003A54AA">
        <w:rPr>
          <w:rFonts w:ascii="Tahoma" w:hAnsi="Tahoma" w:cs="Tahoma"/>
          <w:sz w:val="24"/>
          <w:szCs w:val="24"/>
        </w:rPr>
        <w:t>Mourne</w:t>
      </w:r>
      <w:proofErr w:type="spellEnd"/>
      <w:r w:rsidR="00D43123" w:rsidRPr="003A54AA">
        <w:rPr>
          <w:rFonts w:ascii="Tahoma" w:hAnsi="Tahoma" w:cs="Tahoma"/>
          <w:sz w:val="24"/>
          <w:szCs w:val="24"/>
        </w:rPr>
        <w:t xml:space="preserve"> (99,480*) and </w:t>
      </w:r>
      <w:proofErr w:type="gramStart"/>
      <w:r w:rsidR="00D43123" w:rsidRPr="003A54AA">
        <w:rPr>
          <w:rFonts w:ascii="Tahoma" w:hAnsi="Tahoma" w:cs="Tahoma"/>
          <w:sz w:val="24"/>
          <w:szCs w:val="24"/>
        </w:rPr>
        <w:t xml:space="preserve">Down </w:t>
      </w:r>
      <w:r w:rsidR="00C001DD" w:rsidRPr="003A54AA">
        <w:rPr>
          <w:rFonts w:ascii="Tahoma" w:hAnsi="Tahoma" w:cs="Tahoma"/>
          <w:sz w:val="24"/>
          <w:szCs w:val="24"/>
        </w:rPr>
        <w:t xml:space="preserve"> 41.2</w:t>
      </w:r>
      <w:proofErr w:type="gramEnd"/>
      <w:r w:rsidR="00D43123" w:rsidRPr="003A54AA">
        <w:rPr>
          <w:rFonts w:ascii="Tahoma" w:hAnsi="Tahoma" w:cs="Tahoma"/>
          <w:sz w:val="24"/>
          <w:szCs w:val="24"/>
        </w:rPr>
        <w:t>% (*69,731)</w:t>
      </w:r>
      <w:r w:rsidRPr="003A54AA">
        <w:rPr>
          <w:rFonts w:ascii="Tahoma" w:hAnsi="Tahoma" w:cs="Tahoma"/>
          <w:sz w:val="24"/>
          <w:szCs w:val="24"/>
        </w:rPr>
        <w:t>. In relation to the overal</w:t>
      </w:r>
      <w:r w:rsidR="009D4264">
        <w:rPr>
          <w:rFonts w:ascii="Tahoma" w:hAnsi="Tahoma" w:cs="Tahoma"/>
          <w:sz w:val="24"/>
          <w:szCs w:val="24"/>
        </w:rPr>
        <w:t xml:space="preserve">l Newry, </w:t>
      </w:r>
      <w:proofErr w:type="spellStart"/>
      <w:r w:rsidR="009D4264">
        <w:rPr>
          <w:rFonts w:ascii="Tahoma" w:hAnsi="Tahoma" w:cs="Tahoma"/>
          <w:sz w:val="24"/>
          <w:szCs w:val="24"/>
        </w:rPr>
        <w:t>Mourne</w:t>
      </w:r>
      <w:proofErr w:type="spellEnd"/>
      <w:r w:rsidR="009D4264">
        <w:rPr>
          <w:rFonts w:ascii="Tahoma" w:hAnsi="Tahoma" w:cs="Tahoma"/>
          <w:sz w:val="24"/>
          <w:szCs w:val="24"/>
        </w:rPr>
        <w:t xml:space="preserve"> and </w:t>
      </w:r>
      <w:proofErr w:type="gramStart"/>
      <w:r w:rsidR="009D4264">
        <w:rPr>
          <w:rFonts w:ascii="Tahoma" w:hAnsi="Tahoma" w:cs="Tahoma"/>
          <w:sz w:val="24"/>
          <w:szCs w:val="24"/>
        </w:rPr>
        <w:t>Down</w:t>
      </w:r>
      <w:proofErr w:type="gramEnd"/>
      <w:r w:rsidR="00450DE5" w:rsidRPr="003A54AA">
        <w:rPr>
          <w:rFonts w:ascii="Tahoma" w:hAnsi="Tahoma" w:cs="Tahoma"/>
          <w:sz w:val="24"/>
          <w:szCs w:val="24"/>
        </w:rPr>
        <w:t xml:space="preserve"> projected provision of 1</w:t>
      </w:r>
      <w:r w:rsidR="0013015A" w:rsidRPr="003A54AA">
        <w:rPr>
          <w:rFonts w:ascii="Tahoma" w:hAnsi="Tahoma" w:cs="Tahoma"/>
          <w:sz w:val="24"/>
          <w:szCs w:val="24"/>
        </w:rPr>
        <w:t>69</w:t>
      </w:r>
      <w:r w:rsidRPr="003A54AA">
        <w:rPr>
          <w:rFonts w:ascii="Tahoma" w:hAnsi="Tahoma" w:cs="Tahoma"/>
          <w:sz w:val="24"/>
          <w:szCs w:val="24"/>
        </w:rPr>
        <w:t xml:space="preserve"> ha employment land, this broadly equates t</w:t>
      </w:r>
      <w:r w:rsidR="0013015A" w:rsidRPr="003A54AA">
        <w:rPr>
          <w:rFonts w:ascii="Tahoma" w:hAnsi="Tahoma" w:cs="Tahoma"/>
          <w:sz w:val="24"/>
          <w:szCs w:val="24"/>
        </w:rPr>
        <w:t>o 99</w:t>
      </w:r>
      <w:r w:rsidR="009D4264">
        <w:rPr>
          <w:rFonts w:ascii="Tahoma" w:hAnsi="Tahoma" w:cs="Tahoma"/>
          <w:sz w:val="24"/>
          <w:szCs w:val="24"/>
        </w:rPr>
        <w:t xml:space="preserve"> ha for Newry </w:t>
      </w:r>
      <w:r w:rsidR="00450DE5" w:rsidRPr="003A54AA">
        <w:rPr>
          <w:rFonts w:ascii="Tahoma" w:hAnsi="Tahoma" w:cs="Tahoma"/>
          <w:sz w:val="24"/>
          <w:szCs w:val="24"/>
        </w:rPr>
        <w:t xml:space="preserve">and </w:t>
      </w:r>
      <w:r w:rsidR="0013015A" w:rsidRPr="003A54AA">
        <w:rPr>
          <w:rFonts w:ascii="Tahoma" w:hAnsi="Tahoma" w:cs="Tahoma"/>
          <w:sz w:val="24"/>
          <w:szCs w:val="24"/>
        </w:rPr>
        <w:t>70</w:t>
      </w:r>
      <w:r w:rsidR="00D43123" w:rsidRPr="003A54AA">
        <w:rPr>
          <w:rFonts w:ascii="Tahoma" w:hAnsi="Tahoma" w:cs="Tahoma"/>
          <w:sz w:val="24"/>
          <w:szCs w:val="24"/>
        </w:rPr>
        <w:t xml:space="preserve"> ha for Down</w:t>
      </w:r>
      <w:r w:rsidR="009D4264">
        <w:rPr>
          <w:rFonts w:ascii="Tahoma" w:hAnsi="Tahoma" w:cs="Tahoma"/>
          <w:sz w:val="24"/>
          <w:szCs w:val="24"/>
        </w:rPr>
        <w:t>patrick</w:t>
      </w:r>
      <w:r w:rsidRPr="003A54AA">
        <w:rPr>
          <w:rFonts w:ascii="Tahoma" w:hAnsi="Tahoma" w:cs="Tahoma"/>
          <w:sz w:val="24"/>
          <w:szCs w:val="24"/>
        </w:rPr>
        <w:t>.</w:t>
      </w:r>
    </w:p>
    <w:p w:rsidR="003F2672" w:rsidRPr="003A54AA" w:rsidRDefault="003F2672" w:rsidP="003B7910">
      <w:pPr>
        <w:autoSpaceDE w:val="0"/>
        <w:autoSpaceDN w:val="0"/>
        <w:adjustRightInd w:val="0"/>
        <w:spacing w:after="0" w:line="240" w:lineRule="auto"/>
        <w:ind w:left="360" w:hanging="360"/>
        <w:rPr>
          <w:rFonts w:ascii="Tahoma" w:hAnsi="Tahoma" w:cs="Tahoma"/>
          <w:sz w:val="24"/>
          <w:szCs w:val="24"/>
        </w:rPr>
      </w:pPr>
    </w:p>
    <w:p w:rsidR="003B7910" w:rsidRPr="003A54AA" w:rsidRDefault="003B7910" w:rsidP="003B7910">
      <w:pPr>
        <w:autoSpaceDE w:val="0"/>
        <w:autoSpaceDN w:val="0"/>
        <w:adjustRightInd w:val="0"/>
        <w:spacing w:after="0" w:line="240" w:lineRule="auto"/>
        <w:rPr>
          <w:rFonts w:ascii="Tahoma" w:hAnsi="Tahoma" w:cs="Tahoma"/>
          <w:i/>
          <w:iCs/>
          <w:sz w:val="24"/>
          <w:szCs w:val="24"/>
        </w:rPr>
      </w:pPr>
      <w:r w:rsidRPr="003A54AA">
        <w:rPr>
          <w:rFonts w:ascii="Tahoma" w:hAnsi="Tahoma" w:cs="Tahoma"/>
          <w:i/>
          <w:iCs/>
          <w:sz w:val="24"/>
          <w:szCs w:val="24"/>
        </w:rPr>
        <w:t>Option Three: Population of City/Town/Urban Area</w:t>
      </w:r>
    </w:p>
    <w:p w:rsidR="003B791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sz w:val="24"/>
          <w:szCs w:val="24"/>
        </w:rPr>
        <w:t>8</w:t>
      </w:r>
      <w:r w:rsidR="00450DE5" w:rsidRPr="003A54AA">
        <w:rPr>
          <w:rFonts w:ascii="Tahoma" w:hAnsi="Tahoma" w:cs="Tahoma"/>
          <w:b/>
          <w:sz w:val="24"/>
          <w:szCs w:val="24"/>
        </w:rPr>
        <w:t>.6</w:t>
      </w:r>
      <w:r w:rsidR="00450DE5" w:rsidRPr="003A54AA">
        <w:rPr>
          <w:rFonts w:ascii="Tahoma" w:hAnsi="Tahoma" w:cs="Tahoma"/>
          <w:sz w:val="24"/>
          <w:szCs w:val="24"/>
        </w:rPr>
        <w:t xml:space="preserve"> </w:t>
      </w:r>
      <w:r w:rsidR="003F2672">
        <w:rPr>
          <w:rFonts w:ascii="Tahoma" w:hAnsi="Tahoma" w:cs="Tahoma"/>
          <w:sz w:val="24"/>
          <w:szCs w:val="24"/>
        </w:rPr>
        <w:tab/>
      </w:r>
      <w:r w:rsidR="00C64175" w:rsidRPr="003A54AA">
        <w:rPr>
          <w:rFonts w:ascii="Tahoma" w:hAnsi="Tahoma" w:cs="Tahoma"/>
          <w:sz w:val="24"/>
          <w:szCs w:val="24"/>
        </w:rPr>
        <w:t>B</w:t>
      </w:r>
      <w:r w:rsidR="00513F52" w:rsidRPr="003A54AA">
        <w:rPr>
          <w:rFonts w:ascii="Tahoma" w:hAnsi="Tahoma" w:cs="Tahoma"/>
          <w:sz w:val="24"/>
          <w:szCs w:val="24"/>
        </w:rPr>
        <w:t xml:space="preserve">ased on the 2011 Census, </w:t>
      </w:r>
      <w:r w:rsidR="00C64175" w:rsidRPr="003A54AA">
        <w:rPr>
          <w:rFonts w:ascii="Tahoma" w:hAnsi="Tahoma" w:cs="Tahoma"/>
          <w:sz w:val="24"/>
          <w:szCs w:val="24"/>
        </w:rPr>
        <w:t>26,893 people lived i</w:t>
      </w:r>
      <w:r w:rsidR="009D4264">
        <w:rPr>
          <w:rFonts w:ascii="Tahoma" w:hAnsi="Tahoma" w:cs="Tahoma"/>
          <w:sz w:val="24"/>
          <w:szCs w:val="24"/>
        </w:rPr>
        <w:t xml:space="preserve">n Newry </w:t>
      </w:r>
      <w:r w:rsidR="00C64175" w:rsidRPr="003A54AA">
        <w:rPr>
          <w:rFonts w:ascii="Tahoma" w:hAnsi="Tahoma" w:cs="Tahoma"/>
          <w:sz w:val="24"/>
          <w:szCs w:val="24"/>
        </w:rPr>
        <w:t xml:space="preserve">(71.2% </w:t>
      </w:r>
      <w:r w:rsidR="00513F52" w:rsidRPr="003A54AA">
        <w:rPr>
          <w:rFonts w:ascii="Tahoma" w:hAnsi="Tahoma" w:cs="Tahoma"/>
          <w:sz w:val="24"/>
          <w:szCs w:val="24"/>
        </w:rPr>
        <w:t>of NMD</w:t>
      </w:r>
      <w:r w:rsidR="004E5997" w:rsidRPr="003A54AA">
        <w:rPr>
          <w:rFonts w:ascii="Tahoma" w:hAnsi="Tahoma" w:cs="Tahoma"/>
          <w:sz w:val="24"/>
          <w:szCs w:val="24"/>
        </w:rPr>
        <w:t>), 10,874</w:t>
      </w:r>
      <w:r w:rsidR="00513F52" w:rsidRPr="003A54AA">
        <w:rPr>
          <w:rFonts w:ascii="Tahoma" w:hAnsi="Tahoma" w:cs="Tahoma"/>
          <w:sz w:val="24"/>
          <w:szCs w:val="24"/>
        </w:rPr>
        <w:t xml:space="preserve"> people lived in Down</w:t>
      </w:r>
      <w:r w:rsidR="004E5997" w:rsidRPr="003A54AA">
        <w:rPr>
          <w:rFonts w:ascii="Tahoma" w:hAnsi="Tahoma" w:cs="Tahoma"/>
          <w:sz w:val="24"/>
          <w:szCs w:val="24"/>
        </w:rPr>
        <w:t>patrick</w:t>
      </w:r>
      <w:r w:rsidR="00513F52" w:rsidRPr="003A54AA">
        <w:rPr>
          <w:rFonts w:ascii="Tahoma" w:hAnsi="Tahoma" w:cs="Tahoma"/>
          <w:sz w:val="24"/>
          <w:szCs w:val="24"/>
        </w:rPr>
        <w:t xml:space="preserve"> (</w:t>
      </w:r>
      <w:r w:rsidR="00C64175" w:rsidRPr="003A54AA">
        <w:rPr>
          <w:rFonts w:ascii="Tahoma" w:hAnsi="Tahoma" w:cs="Tahoma"/>
          <w:sz w:val="24"/>
          <w:szCs w:val="24"/>
        </w:rPr>
        <w:t>28.8</w:t>
      </w:r>
      <w:r w:rsidR="00513F52" w:rsidRPr="003A54AA">
        <w:rPr>
          <w:rFonts w:ascii="Tahoma" w:hAnsi="Tahoma" w:cs="Tahoma"/>
          <w:sz w:val="24"/>
          <w:szCs w:val="24"/>
        </w:rPr>
        <w:t>% of NMD)</w:t>
      </w:r>
      <w:r w:rsidR="003B7910" w:rsidRPr="003A54AA">
        <w:rPr>
          <w:rFonts w:ascii="Tahoma" w:hAnsi="Tahoma" w:cs="Tahoma"/>
          <w:sz w:val="24"/>
          <w:szCs w:val="24"/>
        </w:rPr>
        <w:t>. Apportioning growth on th</w:t>
      </w:r>
      <w:r w:rsidR="00C64175" w:rsidRPr="003A54AA">
        <w:rPr>
          <w:rFonts w:ascii="Tahoma" w:hAnsi="Tahoma" w:cs="Tahoma"/>
          <w:sz w:val="24"/>
          <w:szCs w:val="24"/>
        </w:rPr>
        <w:t xml:space="preserve">is basis </w:t>
      </w:r>
      <w:r w:rsidR="00D00CAA" w:rsidRPr="003A54AA">
        <w:rPr>
          <w:rFonts w:ascii="Tahoma" w:hAnsi="Tahoma" w:cs="Tahoma"/>
          <w:sz w:val="24"/>
          <w:szCs w:val="24"/>
        </w:rPr>
        <w:t xml:space="preserve">and focusing on the main hubs only, </w:t>
      </w:r>
      <w:r w:rsidR="0013015A" w:rsidRPr="003A54AA">
        <w:rPr>
          <w:rFonts w:ascii="Tahoma" w:hAnsi="Tahoma" w:cs="Tahoma"/>
          <w:sz w:val="24"/>
          <w:szCs w:val="24"/>
        </w:rPr>
        <w:t>suggests that of the 169 hectares, 120</w:t>
      </w:r>
      <w:r w:rsidR="003B7910" w:rsidRPr="003A54AA">
        <w:rPr>
          <w:rFonts w:ascii="Tahoma" w:hAnsi="Tahoma" w:cs="Tahoma"/>
          <w:sz w:val="24"/>
          <w:szCs w:val="24"/>
        </w:rPr>
        <w:t xml:space="preserve"> hectares s</w:t>
      </w:r>
      <w:r w:rsidR="00C64175" w:rsidRPr="003A54AA">
        <w:rPr>
          <w:rFonts w:ascii="Tahoma" w:hAnsi="Tahoma" w:cs="Tahoma"/>
          <w:sz w:val="24"/>
          <w:szCs w:val="24"/>
        </w:rPr>
        <w:t>hou</w:t>
      </w:r>
      <w:r w:rsidR="0013015A" w:rsidRPr="003A54AA">
        <w:rPr>
          <w:rFonts w:ascii="Tahoma" w:hAnsi="Tahoma" w:cs="Tahoma"/>
          <w:sz w:val="24"/>
          <w:szCs w:val="24"/>
        </w:rPr>
        <w:t>ld be allocated to Newry, and 49</w:t>
      </w:r>
      <w:r w:rsidR="00C64175" w:rsidRPr="003A54AA">
        <w:rPr>
          <w:rFonts w:ascii="Tahoma" w:hAnsi="Tahoma" w:cs="Tahoma"/>
          <w:sz w:val="24"/>
          <w:szCs w:val="24"/>
        </w:rPr>
        <w:t xml:space="preserve"> hectares for Down</w:t>
      </w:r>
      <w:r w:rsidR="004E5997" w:rsidRPr="003A54AA">
        <w:rPr>
          <w:rFonts w:ascii="Tahoma" w:hAnsi="Tahoma" w:cs="Tahoma"/>
          <w:sz w:val="24"/>
          <w:szCs w:val="24"/>
        </w:rPr>
        <w:t>patrick.</w:t>
      </w:r>
    </w:p>
    <w:p w:rsidR="003B7910" w:rsidRPr="003A54AA" w:rsidRDefault="003B7910" w:rsidP="00185000">
      <w:pPr>
        <w:autoSpaceDE w:val="0"/>
        <w:autoSpaceDN w:val="0"/>
        <w:adjustRightInd w:val="0"/>
        <w:spacing w:after="0" w:line="240" w:lineRule="auto"/>
        <w:ind w:left="360" w:hanging="360"/>
        <w:jc w:val="both"/>
        <w:rPr>
          <w:rFonts w:ascii="Tahoma" w:hAnsi="Tahoma" w:cs="Tahoma"/>
          <w:sz w:val="24"/>
          <w:szCs w:val="24"/>
        </w:rPr>
      </w:pPr>
    </w:p>
    <w:p w:rsidR="00450DE5"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sz w:val="24"/>
          <w:szCs w:val="24"/>
        </w:rPr>
        <w:t>8</w:t>
      </w:r>
      <w:r w:rsidR="00450DE5" w:rsidRPr="003A54AA">
        <w:rPr>
          <w:rFonts w:ascii="Tahoma" w:hAnsi="Tahoma" w:cs="Tahoma"/>
          <w:b/>
          <w:sz w:val="24"/>
          <w:szCs w:val="24"/>
        </w:rPr>
        <w:t>.7</w:t>
      </w:r>
      <w:r w:rsidR="003B7910" w:rsidRPr="003A54AA">
        <w:rPr>
          <w:rFonts w:ascii="Tahoma" w:hAnsi="Tahoma" w:cs="Tahoma"/>
          <w:sz w:val="24"/>
          <w:szCs w:val="24"/>
        </w:rPr>
        <w:t xml:space="preserve"> </w:t>
      </w:r>
      <w:r w:rsidR="003F2672">
        <w:rPr>
          <w:rFonts w:ascii="Tahoma" w:hAnsi="Tahoma" w:cs="Tahoma"/>
          <w:sz w:val="24"/>
          <w:szCs w:val="24"/>
        </w:rPr>
        <w:tab/>
      </w:r>
      <w:r w:rsidR="003B7910" w:rsidRPr="003A54AA">
        <w:rPr>
          <w:rFonts w:ascii="Tahoma" w:hAnsi="Tahoma" w:cs="Tahoma"/>
          <w:sz w:val="24"/>
          <w:szCs w:val="24"/>
        </w:rPr>
        <w:t>The local towns also have a role t</w:t>
      </w:r>
      <w:r w:rsidR="00D947F7" w:rsidRPr="003A54AA">
        <w:rPr>
          <w:rFonts w:ascii="Tahoma" w:hAnsi="Tahoma" w:cs="Tahoma"/>
          <w:sz w:val="24"/>
          <w:szCs w:val="24"/>
        </w:rPr>
        <w:t xml:space="preserve">o play in providing employment. </w:t>
      </w:r>
      <w:r w:rsidR="003B7910" w:rsidRPr="003A54AA">
        <w:rPr>
          <w:rFonts w:ascii="Tahoma" w:hAnsi="Tahoma" w:cs="Tahoma"/>
          <w:sz w:val="24"/>
          <w:szCs w:val="24"/>
        </w:rPr>
        <w:t>However,</w:t>
      </w:r>
      <w:r w:rsidR="00D947F7" w:rsidRPr="003A54AA">
        <w:rPr>
          <w:rFonts w:ascii="Tahoma" w:hAnsi="Tahoma" w:cs="Tahoma"/>
          <w:sz w:val="24"/>
          <w:szCs w:val="24"/>
        </w:rPr>
        <w:t xml:space="preserve"> </w:t>
      </w:r>
      <w:r w:rsidR="003B7910" w:rsidRPr="003A54AA">
        <w:rPr>
          <w:rFonts w:ascii="Tahoma" w:hAnsi="Tahoma" w:cs="Tahoma"/>
          <w:sz w:val="24"/>
          <w:szCs w:val="24"/>
        </w:rPr>
        <w:t>because their needs are smaller, attaching an alloc</w:t>
      </w:r>
      <w:r w:rsidR="00F52BA9" w:rsidRPr="003A54AA">
        <w:rPr>
          <w:rFonts w:ascii="Tahoma" w:hAnsi="Tahoma" w:cs="Tahoma"/>
          <w:sz w:val="24"/>
          <w:szCs w:val="24"/>
        </w:rPr>
        <w:t xml:space="preserve">ation figure is more difficult. A distribution on the basis of population size alone, whilst crude, gives an indication of how employment land could be allocated to the main towns within the </w:t>
      </w:r>
      <w:proofErr w:type="gramStart"/>
      <w:r w:rsidR="00F52BA9" w:rsidRPr="003A54AA">
        <w:rPr>
          <w:rFonts w:ascii="Tahoma" w:hAnsi="Tahoma" w:cs="Tahoma"/>
          <w:sz w:val="24"/>
          <w:szCs w:val="24"/>
        </w:rPr>
        <w:t>District  (</w:t>
      </w:r>
      <w:proofErr w:type="gramEnd"/>
      <w:r w:rsidR="00F52BA9" w:rsidRPr="003A54AA">
        <w:rPr>
          <w:rFonts w:ascii="Tahoma" w:hAnsi="Tahoma" w:cs="Tahoma"/>
          <w:sz w:val="24"/>
          <w:szCs w:val="24"/>
        </w:rPr>
        <w:t xml:space="preserve">see Table 11 below).  </w:t>
      </w:r>
      <w:r w:rsidR="003B7910" w:rsidRPr="003A54AA">
        <w:rPr>
          <w:rFonts w:ascii="Tahoma" w:hAnsi="Tahoma" w:cs="Tahoma"/>
          <w:sz w:val="24"/>
          <w:szCs w:val="24"/>
        </w:rPr>
        <w:t>Invest NI suggest that in their experience it becomes viable to provide an Industrial estate at around 12 hectares, which may provide a bench mark to review provision of the sites.</w:t>
      </w:r>
    </w:p>
    <w:p w:rsidR="00F52BA9" w:rsidRDefault="00F52BA9" w:rsidP="003B7910">
      <w:pPr>
        <w:autoSpaceDE w:val="0"/>
        <w:autoSpaceDN w:val="0"/>
        <w:adjustRightInd w:val="0"/>
        <w:spacing w:after="0" w:line="240" w:lineRule="auto"/>
        <w:rPr>
          <w:rFonts w:ascii="Arial" w:hAnsi="Arial" w:cs="Arial"/>
          <w:sz w:val="24"/>
          <w:szCs w:val="24"/>
        </w:rPr>
      </w:pPr>
    </w:p>
    <w:p w:rsidR="00E04AD6" w:rsidRPr="003A54AA" w:rsidRDefault="001B262F" w:rsidP="003B7910">
      <w:pPr>
        <w:autoSpaceDE w:val="0"/>
        <w:autoSpaceDN w:val="0"/>
        <w:adjustRightInd w:val="0"/>
        <w:spacing w:after="0" w:line="240" w:lineRule="auto"/>
        <w:rPr>
          <w:rFonts w:ascii="Tahoma" w:hAnsi="Tahoma" w:cs="Tahoma"/>
          <w:b/>
          <w:sz w:val="24"/>
          <w:szCs w:val="24"/>
        </w:rPr>
      </w:pPr>
      <w:r w:rsidRPr="003A54AA">
        <w:rPr>
          <w:rFonts w:ascii="Tahoma" w:hAnsi="Tahoma" w:cs="Tahoma"/>
          <w:b/>
          <w:sz w:val="24"/>
          <w:szCs w:val="24"/>
        </w:rPr>
        <w:t>Table 11 Employment land allocation by settlement</w:t>
      </w:r>
    </w:p>
    <w:p w:rsidR="001B262F" w:rsidRDefault="001B262F" w:rsidP="003B791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29"/>
        <w:gridCol w:w="2602"/>
        <w:gridCol w:w="2411"/>
      </w:tblGrid>
      <w:tr w:rsidR="008F4A7A" w:rsidTr="008F4A7A">
        <w:tc>
          <w:tcPr>
            <w:tcW w:w="4229" w:type="dxa"/>
            <w:shd w:val="clear" w:color="auto" w:fill="BFBFBF" w:themeFill="background1" w:themeFillShade="BF"/>
          </w:tcPr>
          <w:p w:rsidR="008F4A7A" w:rsidRPr="00D00CAA" w:rsidRDefault="00D00CAA" w:rsidP="003B7910">
            <w:pPr>
              <w:autoSpaceDE w:val="0"/>
              <w:autoSpaceDN w:val="0"/>
              <w:adjustRightInd w:val="0"/>
              <w:rPr>
                <w:rFonts w:ascii="Arial" w:hAnsi="Arial" w:cs="Arial"/>
                <w:b/>
                <w:sz w:val="24"/>
                <w:szCs w:val="24"/>
              </w:rPr>
            </w:pPr>
            <w:r w:rsidRPr="00D00CAA">
              <w:rPr>
                <w:rFonts w:ascii="Arial" w:hAnsi="Arial" w:cs="Arial"/>
                <w:b/>
                <w:sz w:val="24"/>
                <w:szCs w:val="24"/>
              </w:rPr>
              <w:t>City/Main Town</w:t>
            </w:r>
          </w:p>
        </w:tc>
        <w:tc>
          <w:tcPr>
            <w:tcW w:w="2602" w:type="dxa"/>
            <w:shd w:val="clear" w:color="auto" w:fill="BFBFBF" w:themeFill="background1" w:themeFillShade="BF"/>
          </w:tcPr>
          <w:p w:rsidR="008F4A7A" w:rsidRPr="00D00CAA" w:rsidRDefault="008F4A7A" w:rsidP="003B7910">
            <w:pPr>
              <w:autoSpaceDE w:val="0"/>
              <w:autoSpaceDN w:val="0"/>
              <w:adjustRightInd w:val="0"/>
              <w:rPr>
                <w:rFonts w:ascii="Arial" w:hAnsi="Arial" w:cs="Arial"/>
                <w:b/>
                <w:sz w:val="24"/>
                <w:szCs w:val="24"/>
              </w:rPr>
            </w:pPr>
            <w:r w:rsidRPr="00D00CAA">
              <w:rPr>
                <w:rFonts w:ascii="Arial" w:hAnsi="Arial" w:cs="Arial"/>
                <w:b/>
                <w:sz w:val="24"/>
                <w:szCs w:val="24"/>
              </w:rPr>
              <w:t>Population</w:t>
            </w:r>
            <w:r w:rsidR="005967D3">
              <w:rPr>
                <w:rStyle w:val="FootnoteReference"/>
                <w:rFonts w:ascii="Arial" w:hAnsi="Arial" w:cs="Arial"/>
                <w:b/>
                <w:sz w:val="24"/>
                <w:szCs w:val="24"/>
              </w:rPr>
              <w:footnoteReference w:id="33"/>
            </w:r>
            <w:r w:rsidRPr="00D00CAA">
              <w:rPr>
                <w:rFonts w:ascii="Arial" w:hAnsi="Arial" w:cs="Arial"/>
                <w:b/>
                <w:sz w:val="24"/>
                <w:szCs w:val="24"/>
              </w:rPr>
              <w:t xml:space="preserve"> (%) </w:t>
            </w:r>
          </w:p>
        </w:tc>
        <w:tc>
          <w:tcPr>
            <w:tcW w:w="2411" w:type="dxa"/>
            <w:shd w:val="clear" w:color="auto" w:fill="BFBFBF" w:themeFill="background1" w:themeFillShade="BF"/>
          </w:tcPr>
          <w:p w:rsidR="008F4A7A" w:rsidRPr="00D00CAA" w:rsidRDefault="008F4A7A" w:rsidP="003B7910">
            <w:pPr>
              <w:autoSpaceDE w:val="0"/>
              <w:autoSpaceDN w:val="0"/>
              <w:adjustRightInd w:val="0"/>
              <w:rPr>
                <w:rFonts w:ascii="Arial" w:hAnsi="Arial" w:cs="Arial"/>
                <w:b/>
                <w:sz w:val="24"/>
                <w:szCs w:val="24"/>
              </w:rPr>
            </w:pPr>
            <w:r w:rsidRPr="00D00CAA">
              <w:rPr>
                <w:rFonts w:ascii="Arial" w:hAnsi="Arial" w:cs="Arial"/>
                <w:b/>
                <w:sz w:val="24"/>
                <w:szCs w:val="24"/>
              </w:rPr>
              <w:t>Hectares</w:t>
            </w:r>
          </w:p>
        </w:tc>
      </w:tr>
      <w:tr w:rsidR="008F4A7A" w:rsidTr="008F4A7A">
        <w:tc>
          <w:tcPr>
            <w:tcW w:w="4229" w:type="dxa"/>
          </w:tcPr>
          <w:p w:rsidR="008F4A7A" w:rsidRDefault="008F4A7A" w:rsidP="003B7910">
            <w:pPr>
              <w:autoSpaceDE w:val="0"/>
              <w:autoSpaceDN w:val="0"/>
              <w:adjustRightInd w:val="0"/>
              <w:rPr>
                <w:rFonts w:ascii="Arial" w:hAnsi="Arial" w:cs="Arial"/>
                <w:sz w:val="24"/>
                <w:szCs w:val="24"/>
              </w:rPr>
            </w:pPr>
            <w:r>
              <w:rPr>
                <w:rFonts w:ascii="Arial" w:hAnsi="Arial" w:cs="Arial"/>
                <w:sz w:val="24"/>
                <w:szCs w:val="24"/>
              </w:rPr>
              <w:t>Newry</w:t>
            </w:r>
          </w:p>
        </w:tc>
        <w:tc>
          <w:tcPr>
            <w:tcW w:w="2602" w:type="dxa"/>
          </w:tcPr>
          <w:p w:rsidR="008F4A7A" w:rsidRDefault="008F4A7A" w:rsidP="003B7910">
            <w:pPr>
              <w:autoSpaceDE w:val="0"/>
              <w:autoSpaceDN w:val="0"/>
              <w:adjustRightInd w:val="0"/>
              <w:rPr>
                <w:rFonts w:ascii="Arial" w:hAnsi="Arial" w:cs="Arial"/>
                <w:sz w:val="24"/>
                <w:szCs w:val="24"/>
              </w:rPr>
            </w:pPr>
            <w:r>
              <w:rPr>
                <w:rFonts w:ascii="Arial" w:hAnsi="Arial" w:cs="Arial"/>
                <w:sz w:val="24"/>
                <w:szCs w:val="24"/>
              </w:rPr>
              <w:t xml:space="preserve">26,893 (40.46%) </w:t>
            </w:r>
          </w:p>
        </w:tc>
        <w:tc>
          <w:tcPr>
            <w:tcW w:w="2411" w:type="dxa"/>
          </w:tcPr>
          <w:p w:rsidR="008F4A7A" w:rsidRDefault="0013015A" w:rsidP="003B7910">
            <w:pPr>
              <w:autoSpaceDE w:val="0"/>
              <w:autoSpaceDN w:val="0"/>
              <w:adjustRightInd w:val="0"/>
              <w:rPr>
                <w:rFonts w:ascii="Arial" w:hAnsi="Arial" w:cs="Arial"/>
                <w:sz w:val="24"/>
                <w:szCs w:val="24"/>
              </w:rPr>
            </w:pPr>
            <w:r>
              <w:rPr>
                <w:rFonts w:ascii="Arial" w:hAnsi="Arial" w:cs="Arial"/>
                <w:sz w:val="24"/>
                <w:szCs w:val="24"/>
              </w:rPr>
              <w:t>68</w:t>
            </w:r>
            <w:r w:rsidR="008F4A7A">
              <w:rPr>
                <w:rFonts w:ascii="Arial" w:hAnsi="Arial" w:cs="Arial"/>
                <w:sz w:val="24"/>
                <w:szCs w:val="24"/>
              </w:rPr>
              <w:t xml:space="preserve"> ha</w:t>
            </w:r>
          </w:p>
        </w:tc>
      </w:tr>
      <w:tr w:rsidR="00826172" w:rsidTr="008F4A7A">
        <w:tc>
          <w:tcPr>
            <w:tcW w:w="4229"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Downpatrick</w:t>
            </w:r>
          </w:p>
        </w:tc>
        <w:tc>
          <w:tcPr>
            <w:tcW w:w="2602"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 xml:space="preserve">10,874 (16.36%) </w:t>
            </w:r>
          </w:p>
        </w:tc>
        <w:tc>
          <w:tcPr>
            <w:tcW w:w="2411"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28 ha</w:t>
            </w:r>
          </w:p>
        </w:tc>
      </w:tr>
      <w:tr w:rsidR="00826172" w:rsidTr="008F4A7A">
        <w:tc>
          <w:tcPr>
            <w:tcW w:w="4229" w:type="dxa"/>
          </w:tcPr>
          <w:p w:rsidR="00826172" w:rsidRDefault="00826172" w:rsidP="00826172">
            <w:pPr>
              <w:autoSpaceDE w:val="0"/>
              <w:autoSpaceDN w:val="0"/>
              <w:adjustRightInd w:val="0"/>
              <w:rPr>
                <w:rFonts w:ascii="Arial" w:hAnsi="Arial" w:cs="Arial"/>
                <w:sz w:val="24"/>
                <w:szCs w:val="24"/>
              </w:rPr>
            </w:pPr>
            <w:proofErr w:type="spellStart"/>
            <w:r>
              <w:rPr>
                <w:rFonts w:ascii="Arial" w:hAnsi="Arial" w:cs="Arial"/>
                <w:sz w:val="24"/>
                <w:szCs w:val="24"/>
              </w:rPr>
              <w:t>Warrenpoint</w:t>
            </w:r>
            <w:proofErr w:type="spellEnd"/>
            <w:r>
              <w:rPr>
                <w:rFonts w:ascii="Arial" w:hAnsi="Arial" w:cs="Arial"/>
                <w:sz w:val="24"/>
                <w:szCs w:val="24"/>
              </w:rPr>
              <w:t>/</w:t>
            </w:r>
            <w:proofErr w:type="spellStart"/>
            <w:r>
              <w:rPr>
                <w:rFonts w:ascii="Arial" w:hAnsi="Arial" w:cs="Arial"/>
                <w:sz w:val="24"/>
                <w:szCs w:val="24"/>
              </w:rPr>
              <w:t>Burren</w:t>
            </w:r>
            <w:proofErr w:type="spellEnd"/>
          </w:p>
        </w:tc>
        <w:tc>
          <w:tcPr>
            <w:tcW w:w="2602"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 xml:space="preserve">8,721   (13.12%) </w:t>
            </w:r>
          </w:p>
        </w:tc>
        <w:tc>
          <w:tcPr>
            <w:tcW w:w="2411"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22 ha</w:t>
            </w:r>
          </w:p>
        </w:tc>
      </w:tr>
      <w:tr w:rsidR="00826172" w:rsidTr="008F4A7A">
        <w:tc>
          <w:tcPr>
            <w:tcW w:w="4229"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Newcastle</w:t>
            </w:r>
          </w:p>
        </w:tc>
        <w:tc>
          <w:tcPr>
            <w:tcW w:w="2602"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 xml:space="preserve">7,743   (11.64%) </w:t>
            </w:r>
          </w:p>
        </w:tc>
        <w:tc>
          <w:tcPr>
            <w:tcW w:w="2411"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20 ha</w:t>
            </w:r>
          </w:p>
        </w:tc>
      </w:tr>
      <w:tr w:rsidR="00826172" w:rsidTr="008F4A7A">
        <w:tc>
          <w:tcPr>
            <w:tcW w:w="4229" w:type="dxa"/>
          </w:tcPr>
          <w:p w:rsidR="00826172" w:rsidRDefault="00826172" w:rsidP="00826172">
            <w:pPr>
              <w:autoSpaceDE w:val="0"/>
              <w:autoSpaceDN w:val="0"/>
              <w:adjustRightInd w:val="0"/>
              <w:rPr>
                <w:rFonts w:ascii="Arial" w:hAnsi="Arial" w:cs="Arial"/>
                <w:sz w:val="24"/>
                <w:szCs w:val="24"/>
              </w:rPr>
            </w:pPr>
            <w:proofErr w:type="spellStart"/>
            <w:r>
              <w:rPr>
                <w:rFonts w:ascii="Arial" w:hAnsi="Arial" w:cs="Arial"/>
                <w:sz w:val="24"/>
                <w:szCs w:val="24"/>
              </w:rPr>
              <w:t>Kilkeel</w:t>
            </w:r>
            <w:proofErr w:type="spellEnd"/>
          </w:p>
        </w:tc>
        <w:tc>
          <w:tcPr>
            <w:tcW w:w="2602"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 xml:space="preserve">6,521   (9.81%) </w:t>
            </w:r>
          </w:p>
        </w:tc>
        <w:tc>
          <w:tcPr>
            <w:tcW w:w="2411" w:type="dxa"/>
          </w:tcPr>
          <w:p w:rsidR="00826172" w:rsidRDefault="00826172" w:rsidP="00826172">
            <w:pPr>
              <w:autoSpaceDE w:val="0"/>
              <w:autoSpaceDN w:val="0"/>
              <w:adjustRightInd w:val="0"/>
              <w:rPr>
                <w:rFonts w:ascii="Arial" w:hAnsi="Arial" w:cs="Arial"/>
                <w:sz w:val="24"/>
                <w:szCs w:val="24"/>
              </w:rPr>
            </w:pPr>
            <w:r>
              <w:rPr>
                <w:rFonts w:ascii="Arial" w:hAnsi="Arial" w:cs="Arial"/>
                <w:sz w:val="24"/>
                <w:szCs w:val="24"/>
              </w:rPr>
              <w:t>17 ha</w:t>
            </w:r>
          </w:p>
        </w:tc>
      </w:tr>
      <w:tr w:rsidR="008F4A7A" w:rsidTr="008F4A7A">
        <w:tc>
          <w:tcPr>
            <w:tcW w:w="4229" w:type="dxa"/>
          </w:tcPr>
          <w:p w:rsidR="008F4A7A" w:rsidRDefault="008F4A7A" w:rsidP="003B7910">
            <w:pPr>
              <w:autoSpaceDE w:val="0"/>
              <w:autoSpaceDN w:val="0"/>
              <w:adjustRightInd w:val="0"/>
              <w:rPr>
                <w:rFonts w:ascii="Arial" w:hAnsi="Arial" w:cs="Arial"/>
                <w:sz w:val="24"/>
                <w:szCs w:val="24"/>
              </w:rPr>
            </w:pPr>
            <w:proofErr w:type="spellStart"/>
            <w:r>
              <w:rPr>
                <w:rFonts w:ascii="Arial" w:hAnsi="Arial" w:cs="Arial"/>
                <w:sz w:val="24"/>
                <w:szCs w:val="24"/>
              </w:rPr>
              <w:t>Ballynahinch</w:t>
            </w:r>
            <w:proofErr w:type="spellEnd"/>
          </w:p>
        </w:tc>
        <w:tc>
          <w:tcPr>
            <w:tcW w:w="2602" w:type="dxa"/>
          </w:tcPr>
          <w:p w:rsidR="008F4A7A" w:rsidRDefault="008F4A7A" w:rsidP="003B7910">
            <w:pPr>
              <w:autoSpaceDE w:val="0"/>
              <w:autoSpaceDN w:val="0"/>
              <w:adjustRightInd w:val="0"/>
              <w:rPr>
                <w:rFonts w:ascii="Arial" w:hAnsi="Arial" w:cs="Arial"/>
                <w:sz w:val="24"/>
                <w:szCs w:val="24"/>
              </w:rPr>
            </w:pPr>
            <w:r>
              <w:rPr>
                <w:rFonts w:ascii="Arial" w:hAnsi="Arial" w:cs="Arial"/>
                <w:sz w:val="24"/>
                <w:szCs w:val="24"/>
              </w:rPr>
              <w:t>5,715</w:t>
            </w:r>
            <w:r w:rsidR="00A22083">
              <w:rPr>
                <w:rFonts w:ascii="Arial" w:hAnsi="Arial" w:cs="Arial"/>
                <w:sz w:val="24"/>
                <w:szCs w:val="24"/>
              </w:rPr>
              <w:t xml:space="preserve">  </w:t>
            </w:r>
            <w:r>
              <w:rPr>
                <w:rFonts w:ascii="Arial" w:hAnsi="Arial" w:cs="Arial"/>
                <w:sz w:val="24"/>
                <w:szCs w:val="24"/>
              </w:rPr>
              <w:t xml:space="preserve"> (8.59%) </w:t>
            </w:r>
          </w:p>
        </w:tc>
        <w:tc>
          <w:tcPr>
            <w:tcW w:w="2411" w:type="dxa"/>
          </w:tcPr>
          <w:p w:rsidR="008F4A7A" w:rsidRDefault="008F4A7A" w:rsidP="003B7910">
            <w:pPr>
              <w:autoSpaceDE w:val="0"/>
              <w:autoSpaceDN w:val="0"/>
              <w:adjustRightInd w:val="0"/>
              <w:rPr>
                <w:rFonts w:ascii="Arial" w:hAnsi="Arial" w:cs="Arial"/>
                <w:sz w:val="24"/>
                <w:szCs w:val="24"/>
              </w:rPr>
            </w:pPr>
            <w:r>
              <w:rPr>
                <w:rFonts w:ascii="Arial" w:hAnsi="Arial" w:cs="Arial"/>
                <w:sz w:val="24"/>
                <w:szCs w:val="24"/>
              </w:rPr>
              <w:t>14 ha</w:t>
            </w:r>
          </w:p>
        </w:tc>
      </w:tr>
      <w:tr w:rsidR="008F4A7A" w:rsidTr="008F4A7A">
        <w:tc>
          <w:tcPr>
            <w:tcW w:w="4229" w:type="dxa"/>
            <w:shd w:val="clear" w:color="auto" w:fill="BFBFBF" w:themeFill="background1" w:themeFillShade="BF"/>
          </w:tcPr>
          <w:p w:rsidR="008F4A7A" w:rsidRPr="00D00CAA" w:rsidRDefault="008F4A7A" w:rsidP="003B7910">
            <w:pPr>
              <w:autoSpaceDE w:val="0"/>
              <w:autoSpaceDN w:val="0"/>
              <w:adjustRightInd w:val="0"/>
              <w:rPr>
                <w:rFonts w:ascii="Arial" w:hAnsi="Arial" w:cs="Arial"/>
                <w:b/>
                <w:sz w:val="24"/>
                <w:szCs w:val="24"/>
              </w:rPr>
            </w:pPr>
            <w:r w:rsidRPr="00D00CAA">
              <w:rPr>
                <w:rFonts w:ascii="Arial" w:hAnsi="Arial" w:cs="Arial"/>
                <w:b/>
                <w:sz w:val="24"/>
                <w:szCs w:val="24"/>
              </w:rPr>
              <w:t>Total</w:t>
            </w:r>
          </w:p>
        </w:tc>
        <w:tc>
          <w:tcPr>
            <w:tcW w:w="2602" w:type="dxa"/>
            <w:shd w:val="clear" w:color="auto" w:fill="BFBFBF" w:themeFill="background1" w:themeFillShade="BF"/>
          </w:tcPr>
          <w:p w:rsidR="008F4A7A" w:rsidRPr="00D00CAA" w:rsidRDefault="008F4A7A" w:rsidP="003B7910">
            <w:pPr>
              <w:autoSpaceDE w:val="0"/>
              <w:autoSpaceDN w:val="0"/>
              <w:adjustRightInd w:val="0"/>
              <w:rPr>
                <w:rFonts w:ascii="Arial" w:hAnsi="Arial" w:cs="Arial"/>
                <w:b/>
                <w:sz w:val="24"/>
                <w:szCs w:val="24"/>
              </w:rPr>
            </w:pPr>
            <w:r w:rsidRPr="00D00CAA">
              <w:rPr>
                <w:rFonts w:ascii="Arial" w:hAnsi="Arial" w:cs="Arial"/>
                <w:b/>
                <w:sz w:val="24"/>
                <w:szCs w:val="24"/>
              </w:rPr>
              <w:t>66,467</w:t>
            </w:r>
            <w:r w:rsidR="000758BD">
              <w:rPr>
                <w:rFonts w:ascii="Arial" w:hAnsi="Arial" w:cs="Arial"/>
                <w:b/>
                <w:sz w:val="24"/>
                <w:szCs w:val="24"/>
              </w:rPr>
              <w:t xml:space="preserve"> (100%)</w:t>
            </w:r>
          </w:p>
        </w:tc>
        <w:tc>
          <w:tcPr>
            <w:tcW w:w="2411" w:type="dxa"/>
            <w:shd w:val="clear" w:color="auto" w:fill="BFBFBF" w:themeFill="background1" w:themeFillShade="BF"/>
          </w:tcPr>
          <w:p w:rsidR="008F4A7A" w:rsidRPr="00D00CAA" w:rsidRDefault="0013015A" w:rsidP="003B7910">
            <w:pPr>
              <w:autoSpaceDE w:val="0"/>
              <w:autoSpaceDN w:val="0"/>
              <w:adjustRightInd w:val="0"/>
              <w:rPr>
                <w:rFonts w:ascii="Arial" w:hAnsi="Arial" w:cs="Arial"/>
                <w:b/>
                <w:sz w:val="24"/>
                <w:szCs w:val="24"/>
              </w:rPr>
            </w:pPr>
            <w:r>
              <w:rPr>
                <w:rFonts w:ascii="Arial" w:hAnsi="Arial" w:cs="Arial"/>
                <w:b/>
                <w:sz w:val="24"/>
                <w:szCs w:val="24"/>
              </w:rPr>
              <w:t>169</w:t>
            </w:r>
          </w:p>
        </w:tc>
      </w:tr>
    </w:tbl>
    <w:p w:rsidR="00450DE5" w:rsidRDefault="00450DE5" w:rsidP="003B7910">
      <w:pPr>
        <w:autoSpaceDE w:val="0"/>
        <w:autoSpaceDN w:val="0"/>
        <w:adjustRightInd w:val="0"/>
        <w:spacing w:after="0" w:line="240" w:lineRule="auto"/>
        <w:rPr>
          <w:rFonts w:ascii="Arial" w:hAnsi="Arial" w:cs="Arial"/>
          <w:sz w:val="24"/>
          <w:szCs w:val="24"/>
        </w:rPr>
      </w:pPr>
    </w:p>
    <w:p w:rsidR="00450DE5" w:rsidRDefault="00BB7C6C" w:rsidP="003B7910">
      <w:pPr>
        <w:autoSpaceDE w:val="0"/>
        <w:autoSpaceDN w:val="0"/>
        <w:adjustRightInd w:val="0"/>
        <w:spacing w:after="0" w:line="240" w:lineRule="auto"/>
        <w:rPr>
          <w:rFonts w:ascii="Arial" w:hAnsi="Arial" w:cs="Arial"/>
          <w:sz w:val="20"/>
          <w:szCs w:val="20"/>
        </w:rPr>
      </w:pPr>
      <w:r w:rsidRPr="00BB7C6C">
        <w:rPr>
          <w:rFonts w:ascii="Arial" w:hAnsi="Arial" w:cs="Arial"/>
          <w:sz w:val="20"/>
          <w:szCs w:val="20"/>
        </w:rPr>
        <w:t xml:space="preserve">Source: NISRA 2011 Census </w:t>
      </w:r>
      <w:r>
        <w:rPr>
          <w:rFonts w:ascii="Arial" w:hAnsi="Arial" w:cs="Arial"/>
          <w:sz w:val="20"/>
          <w:szCs w:val="20"/>
        </w:rPr>
        <w:t>– Headcount and Household Estimates for Settlements</w:t>
      </w:r>
    </w:p>
    <w:p w:rsidR="00BB7C6C" w:rsidRPr="00BB7C6C" w:rsidRDefault="00BB7C6C" w:rsidP="003B7910">
      <w:pPr>
        <w:autoSpaceDE w:val="0"/>
        <w:autoSpaceDN w:val="0"/>
        <w:adjustRightInd w:val="0"/>
        <w:spacing w:after="0" w:line="240" w:lineRule="auto"/>
        <w:rPr>
          <w:rFonts w:ascii="Arial" w:hAnsi="Arial" w:cs="Arial"/>
          <w:sz w:val="20"/>
          <w:szCs w:val="20"/>
        </w:rPr>
      </w:pPr>
    </w:p>
    <w:p w:rsidR="00B5079C" w:rsidRDefault="00B5079C" w:rsidP="003B7910">
      <w:pPr>
        <w:autoSpaceDE w:val="0"/>
        <w:autoSpaceDN w:val="0"/>
        <w:adjustRightInd w:val="0"/>
        <w:spacing w:after="0" w:line="240" w:lineRule="auto"/>
        <w:rPr>
          <w:rFonts w:ascii="Arial" w:hAnsi="Arial" w:cs="Arial"/>
          <w:b/>
          <w:sz w:val="24"/>
          <w:szCs w:val="24"/>
        </w:rPr>
      </w:pPr>
    </w:p>
    <w:p w:rsidR="00402925" w:rsidRDefault="00402925" w:rsidP="003B7910">
      <w:pPr>
        <w:autoSpaceDE w:val="0"/>
        <w:autoSpaceDN w:val="0"/>
        <w:adjustRightInd w:val="0"/>
        <w:spacing w:after="0" w:line="240" w:lineRule="auto"/>
        <w:rPr>
          <w:rFonts w:ascii="Arial" w:hAnsi="Arial" w:cs="Arial"/>
          <w:b/>
          <w:sz w:val="24"/>
          <w:szCs w:val="24"/>
        </w:rPr>
      </w:pPr>
    </w:p>
    <w:p w:rsidR="00402925" w:rsidRDefault="00402925" w:rsidP="003B7910">
      <w:pPr>
        <w:autoSpaceDE w:val="0"/>
        <w:autoSpaceDN w:val="0"/>
        <w:adjustRightInd w:val="0"/>
        <w:spacing w:after="0" w:line="240" w:lineRule="auto"/>
        <w:rPr>
          <w:rFonts w:ascii="Arial" w:hAnsi="Arial" w:cs="Arial"/>
          <w:b/>
          <w:sz w:val="24"/>
          <w:szCs w:val="24"/>
        </w:rPr>
      </w:pPr>
    </w:p>
    <w:p w:rsidR="00402925" w:rsidRDefault="00402925" w:rsidP="003B7910">
      <w:pPr>
        <w:autoSpaceDE w:val="0"/>
        <w:autoSpaceDN w:val="0"/>
        <w:adjustRightInd w:val="0"/>
        <w:spacing w:after="0" w:line="240" w:lineRule="auto"/>
        <w:rPr>
          <w:rFonts w:ascii="Arial" w:hAnsi="Arial" w:cs="Arial"/>
          <w:b/>
          <w:sz w:val="24"/>
          <w:szCs w:val="24"/>
        </w:rPr>
      </w:pPr>
    </w:p>
    <w:p w:rsidR="003B7910"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sz w:val="24"/>
          <w:szCs w:val="24"/>
        </w:rPr>
        <w:lastRenderedPageBreak/>
        <w:t>8</w:t>
      </w:r>
      <w:r w:rsidR="00D00CAA" w:rsidRPr="003A54AA">
        <w:rPr>
          <w:rFonts w:ascii="Tahoma" w:hAnsi="Tahoma" w:cs="Tahoma"/>
          <w:b/>
          <w:sz w:val="24"/>
          <w:szCs w:val="24"/>
        </w:rPr>
        <w:t>.8</w:t>
      </w:r>
      <w:r w:rsidR="00D00CAA" w:rsidRPr="003A54AA">
        <w:rPr>
          <w:rFonts w:ascii="Tahoma" w:hAnsi="Tahoma" w:cs="Tahoma"/>
          <w:sz w:val="24"/>
          <w:szCs w:val="24"/>
        </w:rPr>
        <w:t xml:space="preserve"> </w:t>
      </w:r>
      <w:r w:rsidR="003F2672">
        <w:rPr>
          <w:rFonts w:ascii="Tahoma" w:hAnsi="Tahoma" w:cs="Tahoma"/>
          <w:sz w:val="24"/>
          <w:szCs w:val="24"/>
        </w:rPr>
        <w:tab/>
      </w:r>
      <w:r w:rsidR="0049163F" w:rsidRPr="003A54AA">
        <w:rPr>
          <w:rFonts w:ascii="Tahoma" w:hAnsi="Tahoma" w:cs="Tahoma"/>
          <w:sz w:val="24"/>
          <w:szCs w:val="24"/>
        </w:rPr>
        <w:t xml:space="preserve">There is no requirement </w:t>
      </w:r>
      <w:r w:rsidR="003B7910" w:rsidRPr="003A54AA">
        <w:rPr>
          <w:rFonts w:ascii="Tahoma" w:hAnsi="Tahoma" w:cs="Tahoma"/>
          <w:sz w:val="24"/>
          <w:szCs w:val="24"/>
        </w:rPr>
        <w:t xml:space="preserve">to zone </w:t>
      </w:r>
      <w:r w:rsidR="00402925">
        <w:rPr>
          <w:rFonts w:ascii="Tahoma" w:hAnsi="Tahoma" w:cs="Tahoma"/>
          <w:sz w:val="24"/>
          <w:szCs w:val="24"/>
        </w:rPr>
        <w:t>economic development</w:t>
      </w:r>
      <w:r w:rsidR="0049163F" w:rsidRPr="003A54AA">
        <w:rPr>
          <w:rFonts w:ascii="Tahoma" w:hAnsi="Tahoma" w:cs="Tahoma"/>
          <w:sz w:val="24"/>
          <w:szCs w:val="24"/>
        </w:rPr>
        <w:t xml:space="preserve"> land </w:t>
      </w:r>
      <w:r w:rsidR="003B7910" w:rsidRPr="003A54AA">
        <w:rPr>
          <w:rFonts w:ascii="Tahoma" w:hAnsi="Tahoma" w:cs="Tahoma"/>
          <w:sz w:val="24"/>
          <w:szCs w:val="24"/>
        </w:rPr>
        <w:t xml:space="preserve">in the villages, and regional policy gives some scope for small rural enterprises to be developed in the countryside outside of villages where there is no land available. Often this can provide a better solution as it allows residents of the village some separation from economic development uses. </w:t>
      </w:r>
    </w:p>
    <w:p w:rsidR="00402925" w:rsidRDefault="00402925" w:rsidP="00185000">
      <w:pPr>
        <w:autoSpaceDE w:val="0"/>
        <w:autoSpaceDN w:val="0"/>
        <w:adjustRightInd w:val="0"/>
        <w:spacing w:after="0" w:line="240" w:lineRule="auto"/>
        <w:jc w:val="both"/>
        <w:rPr>
          <w:rFonts w:ascii="Tahoma" w:hAnsi="Tahoma" w:cs="Tahoma"/>
          <w:sz w:val="24"/>
          <w:szCs w:val="24"/>
        </w:rPr>
      </w:pPr>
    </w:p>
    <w:p w:rsidR="00402925" w:rsidRPr="003A54AA" w:rsidRDefault="00402925" w:rsidP="00402925">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t>8.9</w:t>
      </w:r>
      <w:r w:rsidRPr="003A54AA">
        <w:rPr>
          <w:rFonts w:ascii="Tahoma" w:hAnsi="Tahoma" w:cs="Tahoma"/>
          <w:sz w:val="24"/>
          <w:szCs w:val="24"/>
        </w:rPr>
        <w:t xml:space="preserve"> </w:t>
      </w:r>
      <w:r>
        <w:rPr>
          <w:rFonts w:ascii="Tahoma" w:hAnsi="Tahoma" w:cs="Tahoma"/>
          <w:sz w:val="24"/>
          <w:szCs w:val="24"/>
        </w:rPr>
        <w:tab/>
        <w:t>Demand could also be used to inform economic development zoning however</w:t>
      </w:r>
      <w:r w:rsidRPr="003A54AA">
        <w:rPr>
          <w:rFonts w:ascii="Tahoma" w:hAnsi="Tahoma" w:cs="Tahoma"/>
          <w:sz w:val="24"/>
          <w:szCs w:val="24"/>
        </w:rPr>
        <w:t xml:space="preserve"> it is difficult to quantify demand on privately owned sites and the only real indicator of this is Invest NI. Invest NI land holdings in Newry, </w:t>
      </w:r>
      <w:proofErr w:type="spellStart"/>
      <w:r w:rsidRPr="003A54AA">
        <w:rPr>
          <w:rFonts w:ascii="Tahoma" w:hAnsi="Tahoma" w:cs="Tahoma"/>
          <w:sz w:val="24"/>
          <w:szCs w:val="24"/>
        </w:rPr>
        <w:t>Mourne</w:t>
      </w:r>
      <w:proofErr w:type="spellEnd"/>
      <w:r w:rsidRPr="003A54AA">
        <w:rPr>
          <w:rFonts w:ascii="Tahoma" w:hAnsi="Tahoma" w:cs="Tahoma"/>
          <w:sz w:val="24"/>
          <w:szCs w:val="24"/>
        </w:rPr>
        <w:t xml:space="preserve"> and </w:t>
      </w:r>
      <w:proofErr w:type="gramStart"/>
      <w:r w:rsidRPr="003A54AA">
        <w:rPr>
          <w:rFonts w:ascii="Tahoma" w:hAnsi="Tahoma" w:cs="Tahoma"/>
          <w:sz w:val="24"/>
          <w:szCs w:val="24"/>
        </w:rPr>
        <w:t>Down</w:t>
      </w:r>
      <w:proofErr w:type="gramEnd"/>
      <w:r w:rsidRPr="003A54AA">
        <w:rPr>
          <w:rFonts w:ascii="Tahoma" w:hAnsi="Tahoma" w:cs="Tahoma"/>
          <w:sz w:val="24"/>
          <w:szCs w:val="24"/>
        </w:rPr>
        <w:t xml:space="preserve"> include land in </w:t>
      </w:r>
      <w:proofErr w:type="spellStart"/>
      <w:r w:rsidRPr="003A54AA">
        <w:rPr>
          <w:rFonts w:ascii="Tahoma" w:hAnsi="Tahoma" w:cs="Tahoma"/>
          <w:sz w:val="24"/>
          <w:szCs w:val="24"/>
        </w:rPr>
        <w:t>Carnbane</w:t>
      </w:r>
      <w:proofErr w:type="spellEnd"/>
      <w:r w:rsidRPr="003A54AA">
        <w:rPr>
          <w:rFonts w:ascii="Tahoma" w:hAnsi="Tahoma" w:cs="Tahoma"/>
          <w:sz w:val="24"/>
          <w:szCs w:val="24"/>
        </w:rPr>
        <w:t xml:space="preserve"> Industrial Estate in Newry together with Down Business Park and </w:t>
      </w:r>
      <w:proofErr w:type="spellStart"/>
      <w:r w:rsidRPr="003A54AA">
        <w:rPr>
          <w:rFonts w:ascii="Tahoma" w:hAnsi="Tahoma" w:cs="Tahoma"/>
          <w:sz w:val="24"/>
          <w:szCs w:val="24"/>
        </w:rPr>
        <w:t>Killough</w:t>
      </w:r>
      <w:proofErr w:type="spellEnd"/>
      <w:r w:rsidRPr="003A54AA">
        <w:rPr>
          <w:rFonts w:ascii="Tahoma" w:hAnsi="Tahoma" w:cs="Tahoma"/>
          <w:sz w:val="24"/>
          <w:szCs w:val="24"/>
        </w:rPr>
        <w:t xml:space="preserve"> Road Industrial Estate in Downpatrick. </w:t>
      </w:r>
      <w:r w:rsidRPr="003A54AA">
        <w:rPr>
          <w:rFonts w:ascii="Tahoma" w:hAnsi="Tahoma" w:cs="Tahoma"/>
          <w:color w:val="FF0000"/>
          <w:sz w:val="24"/>
          <w:szCs w:val="24"/>
        </w:rPr>
        <w:t xml:space="preserve"> </w:t>
      </w:r>
      <w:r w:rsidRPr="003A54AA">
        <w:rPr>
          <w:rFonts w:ascii="Tahoma" w:hAnsi="Tahoma" w:cs="Tahoma"/>
          <w:sz w:val="24"/>
          <w:szCs w:val="24"/>
        </w:rPr>
        <w:t xml:space="preserve">Invest NI have indicated they have serviced sites available in both Newry and Downpatrick with additional </w:t>
      </w:r>
      <w:proofErr w:type="spellStart"/>
      <w:r w:rsidRPr="003A54AA">
        <w:rPr>
          <w:rFonts w:ascii="Tahoma" w:hAnsi="Tahoma" w:cs="Tahoma"/>
          <w:sz w:val="24"/>
          <w:szCs w:val="24"/>
        </w:rPr>
        <w:t>unserviced</w:t>
      </w:r>
      <w:proofErr w:type="spellEnd"/>
      <w:r w:rsidRPr="003A54AA">
        <w:rPr>
          <w:rFonts w:ascii="Tahoma" w:hAnsi="Tahoma" w:cs="Tahoma"/>
          <w:sz w:val="24"/>
          <w:szCs w:val="24"/>
        </w:rPr>
        <w:t xml:space="preserve"> lands held in reserve.</w:t>
      </w:r>
    </w:p>
    <w:p w:rsidR="00402925" w:rsidRDefault="00402925" w:rsidP="00402925">
      <w:pPr>
        <w:autoSpaceDE w:val="0"/>
        <w:autoSpaceDN w:val="0"/>
        <w:adjustRightInd w:val="0"/>
        <w:spacing w:after="0" w:line="240" w:lineRule="auto"/>
        <w:jc w:val="both"/>
        <w:rPr>
          <w:rFonts w:ascii="Tahoma" w:hAnsi="Tahoma" w:cs="Tahoma"/>
          <w:b/>
          <w:bCs/>
          <w:sz w:val="24"/>
          <w:szCs w:val="24"/>
        </w:rPr>
      </w:pPr>
    </w:p>
    <w:p w:rsidR="00402925" w:rsidRPr="00402925" w:rsidRDefault="00402925" w:rsidP="00402925">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8.10</w:t>
      </w:r>
      <w:r w:rsidRPr="00402925">
        <w:rPr>
          <w:rFonts w:ascii="Tahoma" w:hAnsi="Tahoma" w:cs="Tahoma"/>
          <w:b/>
          <w:bCs/>
          <w:sz w:val="24"/>
          <w:szCs w:val="24"/>
        </w:rPr>
        <w:t xml:space="preserve"> </w:t>
      </w:r>
      <w:r w:rsidRPr="00402925">
        <w:rPr>
          <w:rFonts w:ascii="Tahoma" w:hAnsi="Tahoma" w:cs="Tahoma"/>
          <w:b/>
          <w:bCs/>
          <w:sz w:val="24"/>
          <w:szCs w:val="24"/>
        </w:rPr>
        <w:tab/>
      </w:r>
      <w:r>
        <w:rPr>
          <w:rFonts w:ascii="Tahoma" w:hAnsi="Tahoma" w:cs="Tahoma"/>
          <w:sz w:val="24"/>
          <w:szCs w:val="24"/>
        </w:rPr>
        <w:t xml:space="preserve">A combination </w:t>
      </w:r>
      <w:r w:rsidRPr="00402925">
        <w:rPr>
          <w:rFonts w:ascii="Tahoma" w:hAnsi="Tahoma" w:cs="Tahoma"/>
          <w:sz w:val="24"/>
          <w:szCs w:val="24"/>
        </w:rPr>
        <w:t>of the above approa</w:t>
      </w:r>
      <w:r>
        <w:rPr>
          <w:rFonts w:ascii="Tahoma" w:hAnsi="Tahoma" w:cs="Tahoma"/>
          <w:sz w:val="24"/>
          <w:szCs w:val="24"/>
        </w:rPr>
        <w:t>ches – a form of hybrid – may</w:t>
      </w:r>
      <w:r w:rsidRPr="00402925">
        <w:rPr>
          <w:rFonts w:ascii="Tahoma" w:hAnsi="Tahoma" w:cs="Tahoma"/>
          <w:sz w:val="24"/>
          <w:szCs w:val="24"/>
        </w:rPr>
        <w:t xml:space="preserve"> be the preferred option for zoning economic development land but at this stage the Council does not have to finalise anything as the Preferred Options Paper can be used to sound out public opinion and to seek interest from landowners who would be willing to propose that their land could be used for economic development purposes.</w:t>
      </w:r>
    </w:p>
    <w:p w:rsidR="00402925" w:rsidRPr="00402925" w:rsidRDefault="00402925" w:rsidP="00402925">
      <w:pPr>
        <w:autoSpaceDE w:val="0"/>
        <w:autoSpaceDN w:val="0"/>
        <w:adjustRightInd w:val="0"/>
        <w:spacing w:after="0" w:line="240" w:lineRule="auto"/>
        <w:jc w:val="both"/>
        <w:rPr>
          <w:rFonts w:ascii="Tahoma" w:hAnsi="Tahoma" w:cs="Tahoma"/>
          <w:sz w:val="24"/>
          <w:szCs w:val="24"/>
        </w:rPr>
      </w:pPr>
    </w:p>
    <w:p w:rsidR="00402925" w:rsidRPr="00402925" w:rsidRDefault="00402925" w:rsidP="00402925">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8.11</w:t>
      </w:r>
      <w:r w:rsidRPr="00402925">
        <w:rPr>
          <w:rFonts w:ascii="Tahoma" w:hAnsi="Tahoma" w:cs="Tahoma"/>
          <w:b/>
          <w:bCs/>
          <w:sz w:val="24"/>
          <w:szCs w:val="24"/>
        </w:rPr>
        <w:t xml:space="preserve"> </w:t>
      </w:r>
      <w:r w:rsidRPr="00402925">
        <w:rPr>
          <w:rFonts w:ascii="Tahoma" w:hAnsi="Tahoma" w:cs="Tahoma"/>
          <w:b/>
          <w:bCs/>
          <w:sz w:val="24"/>
          <w:szCs w:val="24"/>
        </w:rPr>
        <w:tab/>
      </w:r>
      <w:r w:rsidRPr="00402925">
        <w:rPr>
          <w:rFonts w:ascii="Tahoma" w:hAnsi="Tahoma" w:cs="Tahoma"/>
          <w:sz w:val="24"/>
          <w:szCs w:val="24"/>
        </w:rPr>
        <w:t>As well as identifying and protecting zoned land and previously developed</w:t>
      </w:r>
    </w:p>
    <w:p w:rsidR="00402925" w:rsidRPr="00402925" w:rsidRDefault="00402925" w:rsidP="00402925">
      <w:pPr>
        <w:autoSpaceDE w:val="0"/>
        <w:autoSpaceDN w:val="0"/>
        <w:adjustRightInd w:val="0"/>
        <w:spacing w:after="0" w:line="240" w:lineRule="auto"/>
        <w:jc w:val="both"/>
        <w:rPr>
          <w:rFonts w:ascii="Tahoma" w:hAnsi="Tahoma" w:cs="Tahoma"/>
          <w:sz w:val="24"/>
          <w:szCs w:val="24"/>
        </w:rPr>
      </w:pPr>
      <w:proofErr w:type="gramStart"/>
      <w:r w:rsidRPr="00402925">
        <w:rPr>
          <w:rFonts w:ascii="Tahoma" w:hAnsi="Tahoma" w:cs="Tahoma"/>
          <w:sz w:val="24"/>
          <w:szCs w:val="24"/>
        </w:rPr>
        <w:t>land</w:t>
      </w:r>
      <w:proofErr w:type="gramEnd"/>
      <w:r w:rsidRPr="00402925">
        <w:rPr>
          <w:rFonts w:ascii="Tahoma" w:hAnsi="Tahoma" w:cs="Tahoma"/>
          <w:sz w:val="24"/>
          <w:szCs w:val="24"/>
        </w:rPr>
        <w:t xml:space="preserve"> for economic development, the Plan may bring forward policies regarding the type or range of economic development uses that will be acceptable within zoned sites and identify opportunities for mixed uses development. It will also be expected to introduce policies aimed at benefiting the rural economy, such as farm diversification, the re-use of rural buildings and appropriate redevelopment and expansion proposals for industrial and business purposes, while at the same time ensuring there is protection and enhancement of the environment.</w:t>
      </w:r>
    </w:p>
    <w:p w:rsidR="00402925" w:rsidRPr="003A54AA" w:rsidRDefault="00402925" w:rsidP="00185000">
      <w:pPr>
        <w:autoSpaceDE w:val="0"/>
        <w:autoSpaceDN w:val="0"/>
        <w:adjustRightInd w:val="0"/>
        <w:spacing w:after="0" w:line="240" w:lineRule="auto"/>
        <w:jc w:val="both"/>
        <w:rPr>
          <w:rFonts w:ascii="Tahoma" w:hAnsi="Tahoma" w:cs="Tahoma"/>
          <w:sz w:val="24"/>
          <w:szCs w:val="24"/>
        </w:rPr>
      </w:pPr>
    </w:p>
    <w:p w:rsidR="00B5079C" w:rsidRPr="003A54AA" w:rsidRDefault="00B5079C" w:rsidP="003B7910">
      <w:pPr>
        <w:autoSpaceDE w:val="0"/>
        <w:autoSpaceDN w:val="0"/>
        <w:adjustRightInd w:val="0"/>
        <w:spacing w:after="0" w:line="240" w:lineRule="auto"/>
        <w:rPr>
          <w:rFonts w:ascii="Tahoma" w:hAnsi="Tahoma" w:cs="Tahoma"/>
          <w:sz w:val="24"/>
          <w:szCs w:val="24"/>
        </w:rPr>
      </w:pPr>
    </w:p>
    <w:p w:rsidR="00C634A3" w:rsidRPr="003A54AA" w:rsidRDefault="00313304" w:rsidP="00545BA0">
      <w:pPr>
        <w:autoSpaceDE w:val="0"/>
        <w:autoSpaceDN w:val="0"/>
        <w:adjustRightInd w:val="0"/>
        <w:spacing w:after="0" w:line="240" w:lineRule="auto"/>
        <w:rPr>
          <w:rFonts w:ascii="Tahoma" w:hAnsi="Tahoma" w:cs="Tahoma"/>
          <w:b/>
          <w:bCs/>
          <w:sz w:val="28"/>
          <w:szCs w:val="28"/>
        </w:rPr>
      </w:pPr>
      <w:r w:rsidRPr="003A54AA">
        <w:rPr>
          <w:rFonts w:ascii="Tahoma" w:hAnsi="Tahoma" w:cs="Tahoma"/>
          <w:b/>
          <w:bCs/>
          <w:sz w:val="28"/>
          <w:szCs w:val="28"/>
        </w:rPr>
        <w:t>9</w:t>
      </w:r>
      <w:r w:rsidR="006943D2" w:rsidRPr="003A54AA">
        <w:rPr>
          <w:rFonts w:ascii="Tahoma" w:hAnsi="Tahoma" w:cs="Tahoma"/>
          <w:b/>
          <w:bCs/>
          <w:sz w:val="28"/>
          <w:szCs w:val="28"/>
        </w:rPr>
        <w:t>.0 Locations of Individual Zonings</w:t>
      </w:r>
    </w:p>
    <w:p w:rsidR="006943D2" w:rsidRPr="003A54AA" w:rsidRDefault="006943D2" w:rsidP="00545BA0">
      <w:pPr>
        <w:autoSpaceDE w:val="0"/>
        <w:autoSpaceDN w:val="0"/>
        <w:adjustRightInd w:val="0"/>
        <w:spacing w:after="0" w:line="240" w:lineRule="auto"/>
        <w:rPr>
          <w:rFonts w:ascii="Tahoma" w:hAnsi="Tahoma" w:cs="Tahoma"/>
          <w:b/>
          <w:bCs/>
          <w:sz w:val="28"/>
          <w:szCs w:val="28"/>
        </w:rPr>
      </w:pPr>
    </w:p>
    <w:p w:rsidR="006943D2" w:rsidRPr="003A54AA" w:rsidRDefault="00313304" w:rsidP="00185000">
      <w:pPr>
        <w:autoSpaceDE w:val="0"/>
        <w:autoSpaceDN w:val="0"/>
        <w:adjustRightInd w:val="0"/>
        <w:spacing w:after="0" w:line="240" w:lineRule="auto"/>
        <w:jc w:val="both"/>
        <w:rPr>
          <w:rFonts w:ascii="Tahoma" w:hAnsi="Tahoma" w:cs="Tahoma"/>
          <w:bCs/>
          <w:sz w:val="24"/>
          <w:szCs w:val="24"/>
        </w:rPr>
      </w:pPr>
      <w:r w:rsidRPr="003A54AA">
        <w:rPr>
          <w:rFonts w:ascii="Tahoma" w:hAnsi="Tahoma" w:cs="Tahoma"/>
          <w:b/>
          <w:bCs/>
          <w:sz w:val="24"/>
          <w:szCs w:val="24"/>
        </w:rPr>
        <w:t>9</w:t>
      </w:r>
      <w:r w:rsidR="006943D2" w:rsidRPr="003A54AA">
        <w:rPr>
          <w:rFonts w:ascii="Tahoma" w:hAnsi="Tahoma" w:cs="Tahoma"/>
          <w:b/>
          <w:bCs/>
          <w:sz w:val="24"/>
          <w:szCs w:val="24"/>
        </w:rPr>
        <w:t xml:space="preserve">.1 </w:t>
      </w:r>
      <w:r w:rsidR="003F2672">
        <w:rPr>
          <w:rFonts w:ascii="Tahoma" w:hAnsi="Tahoma" w:cs="Tahoma"/>
          <w:b/>
          <w:bCs/>
          <w:sz w:val="24"/>
          <w:szCs w:val="24"/>
        </w:rPr>
        <w:tab/>
      </w:r>
      <w:r w:rsidR="006943D2" w:rsidRPr="003A54AA">
        <w:rPr>
          <w:rFonts w:ascii="Tahoma" w:hAnsi="Tahoma" w:cs="Tahoma"/>
          <w:bCs/>
          <w:sz w:val="24"/>
          <w:szCs w:val="24"/>
        </w:rPr>
        <w:t xml:space="preserve">From the study it appears that there is sufficient land zoned in the short to medium term. </w:t>
      </w:r>
      <w:r w:rsidR="00D6394E" w:rsidRPr="003A54AA">
        <w:rPr>
          <w:rFonts w:ascii="Tahoma" w:hAnsi="Tahoma" w:cs="Tahoma"/>
          <w:bCs/>
          <w:sz w:val="24"/>
          <w:szCs w:val="24"/>
        </w:rPr>
        <w:t>As such there may only</w:t>
      </w:r>
      <w:r w:rsidR="006943D2" w:rsidRPr="003A54AA">
        <w:rPr>
          <w:rFonts w:ascii="Tahoma" w:hAnsi="Tahoma" w:cs="Tahoma"/>
          <w:bCs/>
          <w:sz w:val="24"/>
          <w:szCs w:val="24"/>
        </w:rPr>
        <w:t xml:space="preserve"> be a need to bring forward </w:t>
      </w:r>
      <w:r w:rsidR="00D6394E" w:rsidRPr="003A54AA">
        <w:rPr>
          <w:rFonts w:ascii="Tahoma" w:hAnsi="Tahoma" w:cs="Tahoma"/>
          <w:bCs/>
          <w:sz w:val="24"/>
          <w:szCs w:val="24"/>
        </w:rPr>
        <w:t xml:space="preserve">limited </w:t>
      </w:r>
      <w:r w:rsidR="006943D2" w:rsidRPr="003A54AA">
        <w:rPr>
          <w:rFonts w:ascii="Tahoma" w:hAnsi="Tahoma" w:cs="Tahoma"/>
          <w:bCs/>
          <w:sz w:val="24"/>
          <w:szCs w:val="24"/>
        </w:rPr>
        <w:t>additional land at the plan strategy stage. However it is not clear as to whether all the sites are deliverable in terms of th</w:t>
      </w:r>
      <w:r w:rsidR="00253511" w:rsidRPr="003A54AA">
        <w:rPr>
          <w:rFonts w:ascii="Tahoma" w:hAnsi="Tahoma" w:cs="Tahoma"/>
          <w:bCs/>
          <w:sz w:val="24"/>
          <w:szCs w:val="24"/>
        </w:rPr>
        <w:t xml:space="preserve">ere being a willing seller and </w:t>
      </w:r>
      <w:r w:rsidR="006943D2" w:rsidRPr="003A54AA">
        <w:rPr>
          <w:rFonts w:ascii="Tahoma" w:hAnsi="Tahoma" w:cs="Tahoma"/>
          <w:bCs/>
          <w:sz w:val="24"/>
          <w:szCs w:val="24"/>
        </w:rPr>
        <w:t>purchaser prepared to invest in the necessary infrastructure. It is there</w:t>
      </w:r>
      <w:r w:rsidR="00253511" w:rsidRPr="003A54AA">
        <w:rPr>
          <w:rFonts w:ascii="Tahoma" w:hAnsi="Tahoma" w:cs="Tahoma"/>
          <w:bCs/>
          <w:sz w:val="24"/>
          <w:szCs w:val="24"/>
        </w:rPr>
        <w:t>fore</w:t>
      </w:r>
      <w:r w:rsidR="006943D2" w:rsidRPr="003A54AA">
        <w:rPr>
          <w:rFonts w:ascii="Tahoma" w:hAnsi="Tahoma" w:cs="Tahoma"/>
          <w:bCs/>
          <w:sz w:val="24"/>
          <w:szCs w:val="24"/>
        </w:rPr>
        <w:t xml:space="preserve"> advised that a full review of the existing sites is undertaken for the local policies stage of the plan process.</w:t>
      </w:r>
    </w:p>
    <w:p w:rsidR="006943D2" w:rsidRPr="003A54AA" w:rsidRDefault="006943D2" w:rsidP="00185000">
      <w:pPr>
        <w:autoSpaceDE w:val="0"/>
        <w:autoSpaceDN w:val="0"/>
        <w:adjustRightInd w:val="0"/>
        <w:spacing w:after="0" w:line="240" w:lineRule="auto"/>
        <w:jc w:val="both"/>
        <w:rPr>
          <w:rFonts w:ascii="Tahoma" w:hAnsi="Tahoma" w:cs="Tahoma"/>
          <w:bCs/>
          <w:sz w:val="24"/>
          <w:szCs w:val="24"/>
        </w:rPr>
      </w:pPr>
    </w:p>
    <w:p w:rsidR="006943D2" w:rsidRPr="003A54AA" w:rsidRDefault="00313304" w:rsidP="00185000">
      <w:pPr>
        <w:autoSpaceDE w:val="0"/>
        <w:autoSpaceDN w:val="0"/>
        <w:adjustRightInd w:val="0"/>
        <w:spacing w:after="0" w:line="240" w:lineRule="auto"/>
        <w:jc w:val="both"/>
        <w:rPr>
          <w:rFonts w:ascii="Tahoma" w:hAnsi="Tahoma" w:cs="Tahoma"/>
          <w:bCs/>
          <w:sz w:val="24"/>
          <w:szCs w:val="24"/>
        </w:rPr>
      </w:pPr>
      <w:r w:rsidRPr="003A54AA">
        <w:rPr>
          <w:rFonts w:ascii="Tahoma" w:hAnsi="Tahoma" w:cs="Tahoma"/>
          <w:b/>
          <w:bCs/>
          <w:sz w:val="24"/>
          <w:szCs w:val="24"/>
        </w:rPr>
        <w:t>9</w:t>
      </w:r>
      <w:r w:rsidR="00285190" w:rsidRPr="003A54AA">
        <w:rPr>
          <w:rFonts w:ascii="Tahoma" w:hAnsi="Tahoma" w:cs="Tahoma"/>
          <w:b/>
          <w:bCs/>
          <w:sz w:val="24"/>
          <w:szCs w:val="24"/>
        </w:rPr>
        <w:t>.2</w:t>
      </w:r>
      <w:r w:rsidR="00285190" w:rsidRPr="003A54AA">
        <w:rPr>
          <w:rFonts w:ascii="Tahoma" w:hAnsi="Tahoma" w:cs="Tahoma"/>
          <w:bCs/>
          <w:sz w:val="24"/>
          <w:szCs w:val="24"/>
        </w:rPr>
        <w:t xml:space="preserve"> </w:t>
      </w:r>
      <w:r w:rsidR="003F2672">
        <w:rPr>
          <w:rFonts w:ascii="Tahoma" w:hAnsi="Tahoma" w:cs="Tahoma"/>
          <w:bCs/>
          <w:sz w:val="24"/>
          <w:szCs w:val="24"/>
        </w:rPr>
        <w:tab/>
      </w:r>
      <w:r w:rsidR="00285190" w:rsidRPr="003A54AA">
        <w:rPr>
          <w:rFonts w:ascii="Tahoma" w:hAnsi="Tahoma" w:cs="Tahoma"/>
          <w:bCs/>
          <w:sz w:val="24"/>
          <w:szCs w:val="24"/>
        </w:rPr>
        <w:t>To aid this, existing landowners should be asked whether they are prepared to release their land for economic development at market value and the Preferred Options Paper used to call for alternative sites, which may be evaluated in the second stage of the plan process.</w:t>
      </w:r>
    </w:p>
    <w:p w:rsidR="00D32E37" w:rsidRDefault="00D32E37" w:rsidP="00545BA0">
      <w:pPr>
        <w:autoSpaceDE w:val="0"/>
        <w:autoSpaceDN w:val="0"/>
        <w:adjustRightInd w:val="0"/>
        <w:spacing w:after="0" w:line="240" w:lineRule="auto"/>
        <w:rPr>
          <w:rFonts w:ascii="Arial" w:hAnsi="Arial" w:cs="Arial"/>
          <w:bCs/>
          <w:sz w:val="24"/>
          <w:szCs w:val="24"/>
        </w:rPr>
      </w:pPr>
    </w:p>
    <w:p w:rsidR="00C83A85" w:rsidRDefault="00C83A85" w:rsidP="00545BA0">
      <w:pPr>
        <w:autoSpaceDE w:val="0"/>
        <w:autoSpaceDN w:val="0"/>
        <w:adjustRightInd w:val="0"/>
        <w:spacing w:after="0" w:line="240" w:lineRule="auto"/>
        <w:rPr>
          <w:rFonts w:ascii="Arial" w:hAnsi="Arial" w:cs="Arial"/>
          <w:bCs/>
          <w:sz w:val="24"/>
          <w:szCs w:val="24"/>
        </w:rPr>
      </w:pPr>
    </w:p>
    <w:p w:rsidR="00402925" w:rsidRDefault="00402925" w:rsidP="00545BA0">
      <w:pPr>
        <w:autoSpaceDE w:val="0"/>
        <w:autoSpaceDN w:val="0"/>
        <w:adjustRightInd w:val="0"/>
        <w:spacing w:after="0" w:line="240" w:lineRule="auto"/>
        <w:rPr>
          <w:rFonts w:ascii="Arial" w:hAnsi="Arial" w:cs="Arial"/>
          <w:bCs/>
          <w:sz w:val="24"/>
          <w:szCs w:val="24"/>
        </w:rPr>
      </w:pPr>
    </w:p>
    <w:p w:rsidR="00402925" w:rsidRDefault="00402925" w:rsidP="00545BA0">
      <w:pPr>
        <w:autoSpaceDE w:val="0"/>
        <w:autoSpaceDN w:val="0"/>
        <w:adjustRightInd w:val="0"/>
        <w:spacing w:after="0" w:line="240" w:lineRule="auto"/>
        <w:rPr>
          <w:rFonts w:ascii="Arial" w:hAnsi="Arial" w:cs="Arial"/>
          <w:bCs/>
          <w:sz w:val="24"/>
          <w:szCs w:val="24"/>
        </w:rPr>
      </w:pPr>
    </w:p>
    <w:p w:rsidR="00545BA0" w:rsidRPr="003A54AA" w:rsidRDefault="00313304" w:rsidP="00545BA0">
      <w:pPr>
        <w:autoSpaceDE w:val="0"/>
        <w:autoSpaceDN w:val="0"/>
        <w:adjustRightInd w:val="0"/>
        <w:spacing w:after="0" w:line="240" w:lineRule="auto"/>
        <w:rPr>
          <w:rFonts w:ascii="Tahoma" w:hAnsi="Tahoma" w:cs="Tahoma"/>
          <w:b/>
          <w:bCs/>
          <w:sz w:val="28"/>
          <w:szCs w:val="28"/>
        </w:rPr>
      </w:pPr>
      <w:r w:rsidRPr="003A54AA">
        <w:rPr>
          <w:rFonts w:ascii="Tahoma" w:hAnsi="Tahoma" w:cs="Tahoma"/>
          <w:b/>
          <w:bCs/>
          <w:sz w:val="28"/>
          <w:szCs w:val="28"/>
        </w:rPr>
        <w:lastRenderedPageBreak/>
        <w:t>10</w:t>
      </w:r>
      <w:r w:rsidR="00545BA0" w:rsidRPr="003A54AA">
        <w:rPr>
          <w:rFonts w:ascii="Tahoma" w:hAnsi="Tahoma" w:cs="Tahoma"/>
          <w:b/>
          <w:bCs/>
          <w:sz w:val="28"/>
          <w:szCs w:val="28"/>
        </w:rPr>
        <w:t xml:space="preserve">.0 </w:t>
      </w:r>
      <w:r w:rsidR="003F2672">
        <w:rPr>
          <w:rFonts w:ascii="Tahoma" w:hAnsi="Tahoma" w:cs="Tahoma"/>
          <w:b/>
          <w:bCs/>
          <w:sz w:val="28"/>
          <w:szCs w:val="28"/>
        </w:rPr>
        <w:tab/>
      </w:r>
      <w:r w:rsidR="00545BA0" w:rsidRPr="003A54AA">
        <w:rPr>
          <w:rFonts w:ascii="Tahoma" w:hAnsi="Tahoma" w:cs="Tahoma"/>
          <w:b/>
          <w:bCs/>
          <w:sz w:val="28"/>
          <w:szCs w:val="28"/>
        </w:rPr>
        <w:t>Conclusion and Key Findings</w:t>
      </w:r>
    </w:p>
    <w:p w:rsidR="00545BA0" w:rsidRPr="003A54AA" w:rsidRDefault="00545BA0" w:rsidP="00545BA0">
      <w:pPr>
        <w:autoSpaceDE w:val="0"/>
        <w:autoSpaceDN w:val="0"/>
        <w:adjustRightInd w:val="0"/>
        <w:spacing w:after="0" w:line="240" w:lineRule="auto"/>
        <w:rPr>
          <w:rFonts w:ascii="Tahoma" w:hAnsi="Tahoma" w:cs="Tahoma"/>
          <w:b/>
          <w:bCs/>
          <w:sz w:val="24"/>
          <w:szCs w:val="24"/>
        </w:rPr>
      </w:pPr>
    </w:p>
    <w:p w:rsidR="00545BA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10</w:t>
      </w:r>
      <w:r w:rsidR="00545BA0" w:rsidRPr="003A54AA">
        <w:rPr>
          <w:rFonts w:ascii="Tahoma" w:hAnsi="Tahoma" w:cs="Tahoma"/>
          <w:b/>
          <w:bCs/>
          <w:sz w:val="24"/>
          <w:szCs w:val="24"/>
        </w:rPr>
        <w:t xml:space="preserve">.1 </w:t>
      </w:r>
      <w:r w:rsidR="003F2672">
        <w:rPr>
          <w:rFonts w:ascii="Tahoma" w:hAnsi="Tahoma" w:cs="Tahoma"/>
          <w:b/>
          <w:bCs/>
          <w:sz w:val="24"/>
          <w:szCs w:val="24"/>
        </w:rPr>
        <w:tab/>
      </w:r>
      <w:r w:rsidR="00545BA0" w:rsidRPr="003A54AA">
        <w:rPr>
          <w:rFonts w:ascii="Tahoma" w:hAnsi="Tahoma" w:cs="Tahoma"/>
          <w:sz w:val="24"/>
          <w:szCs w:val="24"/>
        </w:rPr>
        <w:t>From the research it is cle</w:t>
      </w:r>
      <w:r w:rsidR="009B7025" w:rsidRPr="003A54AA">
        <w:rPr>
          <w:rFonts w:ascii="Tahoma" w:hAnsi="Tahoma" w:cs="Tahoma"/>
          <w:sz w:val="24"/>
          <w:szCs w:val="24"/>
        </w:rPr>
        <w:t xml:space="preserve">ar that both Newry and </w:t>
      </w:r>
      <w:proofErr w:type="spellStart"/>
      <w:r w:rsidR="009B7025" w:rsidRPr="003A54AA">
        <w:rPr>
          <w:rFonts w:ascii="Tahoma" w:hAnsi="Tahoma" w:cs="Tahoma"/>
          <w:sz w:val="24"/>
          <w:szCs w:val="24"/>
        </w:rPr>
        <w:t>Mourne</w:t>
      </w:r>
      <w:proofErr w:type="spellEnd"/>
      <w:r w:rsidR="009B7025" w:rsidRPr="003A54AA">
        <w:rPr>
          <w:rFonts w:ascii="Tahoma" w:hAnsi="Tahoma" w:cs="Tahoma"/>
          <w:sz w:val="24"/>
          <w:szCs w:val="24"/>
        </w:rPr>
        <w:t xml:space="preserve"> and </w:t>
      </w:r>
      <w:proofErr w:type="gramStart"/>
      <w:r w:rsidR="009B7025" w:rsidRPr="003A54AA">
        <w:rPr>
          <w:rFonts w:ascii="Tahoma" w:hAnsi="Tahoma" w:cs="Tahoma"/>
          <w:sz w:val="24"/>
          <w:szCs w:val="24"/>
        </w:rPr>
        <w:t>Down</w:t>
      </w:r>
      <w:proofErr w:type="gramEnd"/>
      <w:r w:rsidR="00545BA0" w:rsidRPr="003A54AA">
        <w:rPr>
          <w:rFonts w:ascii="Tahoma" w:hAnsi="Tahoma" w:cs="Tahoma"/>
          <w:sz w:val="24"/>
          <w:szCs w:val="24"/>
        </w:rPr>
        <w:t xml:space="preserve"> have experienced a slow take-up rate of employment/industrial lands. This paper has provided an indication of the ability of the existing Area Plans to deliver the anticipated number of jobs required to 2030. Given that job market recovery has been slow in Northern Ireland, job creation for the new Plan will be challenging and with the cuts in the public sector recently announced, local economies may need to focus on growth sectors such as professional services, information and communications. This will also require people who are highly skilled.</w:t>
      </w:r>
    </w:p>
    <w:p w:rsidR="00545BA0" w:rsidRPr="003A54AA" w:rsidRDefault="00545BA0" w:rsidP="00185000">
      <w:pPr>
        <w:autoSpaceDE w:val="0"/>
        <w:autoSpaceDN w:val="0"/>
        <w:adjustRightInd w:val="0"/>
        <w:spacing w:after="0" w:line="240" w:lineRule="auto"/>
        <w:jc w:val="both"/>
        <w:rPr>
          <w:rFonts w:ascii="Tahoma" w:hAnsi="Tahoma" w:cs="Tahoma"/>
          <w:b/>
          <w:bCs/>
          <w:sz w:val="24"/>
          <w:szCs w:val="24"/>
        </w:rPr>
      </w:pPr>
    </w:p>
    <w:p w:rsidR="00545BA0" w:rsidRPr="003A54AA" w:rsidRDefault="00313304"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b/>
          <w:bCs/>
          <w:sz w:val="24"/>
          <w:szCs w:val="24"/>
        </w:rPr>
        <w:t>10</w:t>
      </w:r>
      <w:r w:rsidR="00545BA0" w:rsidRPr="003A54AA">
        <w:rPr>
          <w:rFonts w:ascii="Tahoma" w:hAnsi="Tahoma" w:cs="Tahoma"/>
          <w:b/>
          <w:bCs/>
          <w:sz w:val="24"/>
          <w:szCs w:val="24"/>
        </w:rPr>
        <w:t xml:space="preserve">.2 </w:t>
      </w:r>
      <w:r w:rsidR="003F2672">
        <w:rPr>
          <w:rFonts w:ascii="Tahoma" w:hAnsi="Tahoma" w:cs="Tahoma"/>
          <w:b/>
          <w:bCs/>
          <w:sz w:val="24"/>
          <w:szCs w:val="24"/>
        </w:rPr>
        <w:tab/>
      </w:r>
      <w:r w:rsidR="00545BA0" w:rsidRPr="003A54AA">
        <w:rPr>
          <w:rFonts w:ascii="Tahoma" w:hAnsi="Tahoma" w:cs="Tahoma"/>
          <w:sz w:val="24"/>
          <w:szCs w:val="24"/>
        </w:rPr>
        <w:t>A summary of the key findings are as follows:-</w:t>
      </w:r>
    </w:p>
    <w:p w:rsidR="009338A1" w:rsidRPr="003A54AA" w:rsidRDefault="009338A1" w:rsidP="00185000">
      <w:pPr>
        <w:autoSpaceDE w:val="0"/>
        <w:autoSpaceDN w:val="0"/>
        <w:adjustRightInd w:val="0"/>
        <w:spacing w:after="0" w:line="240" w:lineRule="auto"/>
        <w:jc w:val="both"/>
        <w:rPr>
          <w:rFonts w:ascii="Tahoma" w:hAnsi="Tahoma" w:cs="Tahoma"/>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 xml:space="preserve">(i) </w:t>
      </w:r>
      <w:r w:rsidR="009338A1" w:rsidRPr="003A54AA">
        <w:rPr>
          <w:rFonts w:ascii="Tahoma" w:hAnsi="Tahoma" w:cs="Tahoma"/>
          <w:sz w:val="24"/>
          <w:szCs w:val="24"/>
        </w:rPr>
        <w:t xml:space="preserve">Newry, </w:t>
      </w:r>
      <w:proofErr w:type="spellStart"/>
      <w:r w:rsidR="009338A1" w:rsidRPr="003A54AA">
        <w:rPr>
          <w:rFonts w:ascii="Tahoma" w:hAnsi="Tahoma" w:cs="Tahoma"/>
          <w:sz w:val="24"/>
          <w:szCs w:val="24"/>
        </w:rPr>
        <w:t>Mourne</w:t>
      </w:r>
      <w:proofErr w:type="spellEnd"/>
      <w:r w:rsidR="009338A1" w:rsidRPr="003A54AA">
        <w:rPr>
          <w:rFonts w:ascii="Tahoma" w:hAnsi="Tahoma" w:cs="Tahoma"/>
          <w:sz w:val="24"/>
          <w:szCs w:val="24"/>
        </w:rPr>
        <w:t xml:space="preserve"> and Down </w:t>
      </w:r>
      <w:r w:rsidRPr="003A54AA">
        <w:rPr>
          <w:rFonts w:ascii="Tahoma" w:hAnsi="Tahoma" w:cs="Tahoma"/>
          <w:sz w:val="24"/>
          <w:szCs w:val="24"/>
        </w:rPr>
        <w:t xml:space="preserve">has a </w:t>
      </w:r>
      <w:proofErr w:type="gramStart"/>
      <w:r w:rsidRPr="003A54AA">
        <w:rPr>
          <w:rFonts w:ascii="Tahoma" w:hAnsi="Tahoma" w:cs="Tahoma"/>
          <w:sz w:val="24"/>
          <w:szCs w:val="24"/>
        </w:rPr>
        <w:t xml:space="preserve">strong </w:t>
      </w:r>
      <w:r w:rsidR="009338A1" w:rsidRPr="003A54AA">
        <w:rPr>
          <w:rFonts w:ascii="Tahoma" w:hAnsi="Tahoma" w:cs="Tahoma"/>
          <w:sz w:val="24"/>
          <w:szCs w:val="24"/>
        </w:rPr>
        <w:t xml:space="preserve"> manufacturing</w:t>
      </w:r>
      <w:proofErr w:type="gramEnd"/>
      <w:r w:rsidR="009338A1" w:rsidRPr="003A54AA">
        <w:rPr>
          <w:rFonts w:ascii="Tahoma" w:hAnsi="Tahoma" w:cs="Tahoma"/>
          <w:sz w:val="24"/>
          <w:szCs w:val="24"/>
        </w:rPr>
        <w:t xml:space="preserve"> and </w:t>
      </w:r>
      <w:r w:rsidRPr="003A54AA">
        <w:rPr>
          <w:rFonts w:ascii="Tahoma" w:hAnsi="Tahoma" w:cs="Tahoma"/>
          <w:sz w:val="24"/>
          <w:szCs w:val="24"/>
        </w:rPr>
        <w:t>service base</w:t>
      </w:r>
      <w:r w:rsidR="009338A1" w:rsidRPr="003A54AA">
        <w:rPr>
          <w:rFonts w:ascii="Tahoma" w:hAnsi="Tahoma" w:cs="Tahoma"/>
          <w:sz w:val="24"/>
          <w:szCs w:val="24"/>
        </w:rPr>
        <w:t xml:space="preserve">. Future jobs growth is </w:t>
      </w:r>
      <w:r w:rsidRPr="003A54AA">
        <w:rPr>
          <w:rFonts w:ascii="Tahoma" w:hAnsi="Tahoma" w:cs="Tahoma"/>
          <w:sz w:val="24"/>
          <w:szCs w:val="24"/>
        </w:rPr>
        <w:t xml:space="preserve">expected to be in sectors such as information and communication and the professional and technical services. Any plan should try to facilitate growth in this sector. In selecting land for development, it is important to provide sites with quality environments </w:t>
      </w:r>
      <w:r w:rsidR="009338A1" w:rsidRPr="003A54AA">
        <w:rPr>
          <w:rFonts w:ascii="Tahoma" w:hAnsi="Tahoma" w:cs="Tahoma"/>
          <w:sz w:val="24"/>
          <w:szCs w:val="24"/>
        </w:rPr>
        <w:t xml:space="preserve">and good infrastructure </w:t>
      </w:r>
      <w:r w:rsidRPr="003A54AA">
        <w:rPr>
          <w:rFonts w:ascii="Tahoma" w:hAnsi="Tahoma" w:cs="Tahoma"/>
          <w:sz w:val="24"/>
          <w:szCs w:val="24"/>
        </w:rPr>
        <w:t>to attract businesses.</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(ii) The number of new jobs required for the period 2015-2030 is estimated</w:t>
      </w:r>
    </w:p>
    <w:p w:rsidR="00545BA0" w:rsidRPr="003A54AA" w:rsidRDefault="008D1D4E" w:rsidP="00185000">
      <w:pPr>
        <w:autoSpaceDE w:val="0"/>
        <w:autoSpaceDN w:val="0"/>
        <w:adjustRightInd w:val="0"/>
        <w:spacing w:after="0" w:line="240" w:lineRule="auto"/>
        <w:jc w:val="both"/>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be up to 9,</w:t>
      </w:r>
      <w:r w:rsidR="00FC104B">
        <w:rPr>
          <w:rFonts w:ascii="Tahoma" w:hAnsi="Tahoma" w:cs="Tahoma"/>
          <w:sz w:val="24"/>
          <w:szCs w:val="24"/>
        </w:rPr>
        <w:t>213</w:t>
      </w:r>
      <w:r w:rsidR="00545BA0" w:rsidRPr="003A54AA">
        <w:rPr>
          <w:rFonts w:ascii="Tahoma" w:hAnsi="Tahoma" w:cs="Tahoma"/>
          <w:sz w:val="24"/>
          <w:szCs w:val="24"/>
        </w:rPr>
        <w:t>. The majority (</w:t>
      </w:r>
      <w:r w:rsidR="009338A1" w:rsidRPr="003A54AA">
        <w:rPr>
          <w:rFonts w:ascii="Tahoma" w:hAnsi="Tahoma" w:cs="Tahoma"/>
          <w:sz w:val="24"/>
          <w:szCs w:val="24"/>
        </w:rPr>
        <w:t xml:space="preserve">approximately </w:t>
      </w:r>
      <w:r w:rsidR="00545BA0" w:rsidRPr="003A54AA">
        <w:rPr>
          <w:rFonts w:ascii="Tahoma" w:hAnsi="Tahoma" w:cs="Tahoma"/>
          <w:sz w:val="24"/>
          <w:szCs w:val="24"/>
        </w:rPr>
        <w:t>80%) of these are expected to be provided within the service sector.</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545BA0" w:rsidRPr="003A54AA" w:rsidRDefault="00545BA0" w:rsidP="00345509">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(iii) Based on the estimated number of jobs required in manufacturing and</w:t>
      </w:r>
    </w:p>
    <w:p w:rsidR="00545BA0" w:rsidRPr="003A54AA" w:rsidRDefault="00545BA0" w:rsidP="00345509">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services</w:t>
      </w:r>
      <w:proofErr w:type="gramEnd"/>
      <w:r w:rsidRPr="003A54AA">
        <w:rPr>
          <w:rFonts w:ascii="Tahoma" w:hAnsi="Tahoma" w:cs="Tahoma"/>
          <w:sz w:val="24"/>
          <w:szCs w:val="24"/>
        </w:rPr>
        <w:t>, between</w:t>
      </w:r>
      <w:r w:rsidRPr="003A54AA">
        <w:rPr>
          <w:rFonts w:ascii="Tahoma" w:hAnsi="Tahoma" w:cs="Tahoma"/>
          <w:color w:val="FF0000"/>
          <w:sz w:val="24"/>
          <w:szCs w:val="24"/>
        </w:rPr>
        <w:t xml:space="preserve"> </w:t>
      </w:r>
      <w:r w:rsidR="00F45D81" w:rsidRPr="003A54AA">
        <w:rPr>
          <w:rFonts w:ascii="Tahoma" w:hAnsi="Tahoma" w:cs="Tahoma"/>
          <w:b/>
          <w:sz w:val="24"/>
          <w:szCs w:val="24"/>
        </w:rPr>
        <w:t>166</w:t>
      </w:r>
      <w:r w:rsidR="009B7025" w:rsidRPr="003A54AA">
        <w:rPr>
          <w:rFonts w:ascii="Tahoma" w:hAnsi="Tahoma" w:cs="Tahoma"/>
          <w:color w:val="FF0000"/>
          <w:sz w:val="24"/>
          <w:szCs w:val="24"/>
        </w:rPr>
        <w:t xml:space="preserve"> </w:t>
      </w:r>
      <w:r w:rsidR="009B7025" w:rsidRPr="003A54AA">
        <w:rPr>
          <w:rFonts w:ascii="Tahoma" w:hAnsi="Tahoma" w:cs="Tahoma"/>
          <w:sz w:val="24"/>
          <w:szCs w:val="24"/>
        </w:rPr>
        <w:t>and</w:t>
      </w:r>
      <w:r w:rsidR="009B7025" w:rsidRPr="003A54AA">
        <w:rPr>
          <w:rFonts w:ascii="Tahoma" w:hAnsi="Tahoma" w:cs="Tahoma"/>
          <w:color w:val="FF0000"/>
          <w:sz w:val="24"/>
          <w:szCs w:val="24"/>
        </w:rPr>
        <w:t xml:space="preserve"> </w:t>
      </w:r>
      <w:r w:rsidR="00F45D81" w:rsidRPr="003A54AA">
        <w:rPr>
          <w:rFonts w:ascii="Tahoma" w:hAnsi="Tahoma" w:cs="Tahoma"/>
          <w:b/>
          <w:sz w:val="24"/>
          <w:szCs w:val="24"/>
        </w:rPr>
        <w:t>169</w:t>
      </w:r>
      <w:r w:rsidRPr="003A54AA">
        <w:rPr>
          <w:rFonts w:ascii="Tahoma" w:hAnsi="Tahoma" w:cs="Tahoma"/>
          <w:color w:val="FF0000"/>
          <w:sz w:val="24"/>
          <w:szCs w:val="24"/>
        </w:rPr>
        <w:t xml:space="preserve"> </w:t>
      </w:r>
      <w:r w:rsidRPr="003A54AA">
        <w:rPr>
          <w:rFonts w:ascii="Tahoma" w:hAnsi="Tahoma" w:cs="Tahoma"/>
          <w:sz w:val="24"/>
          <w:szCs w:val="24"/>
        </w:rPr>
        <w:t xml:space="preserve">hectares of zoned land are required. </w:t>
      </w:r>
      <w:r w:rsidR="00345509" w:rsidRPr="00345509">
        <w:rPr>
          <w:rFonts w:ascii="Tahoma" w:hAnsi="Tahoma" w:cs="Tahoma"/>
          <w:sz w:val="24"/>
          <w:szCs w:val="24"/>
        </w:rPr>
        <w:t>In order to comply with Regional Planning Policy it is recommended that the hubs take the largest share of zoned employment land.</w:t>
      </w:r>
    </w:p>
    <w:p w:rsidR="00837F79" w:rsidRPr="003A54AA" w:rsidRDefault="00837F79" w:rsidP="00185000">
      <w:pPr>
        <w:autoSpaceDE w:val="0"/>
        <w:autoSpaceDN w:val="0"/>
        <w:adjustRightInd w:val="0"/>
        <w:spacing w:after="0" w:line="240" w:lineRule="auto"/>
        <w:jc w:val="both"/>
        <w:rPr>
          <w:rFonts w:ascii="Tahoma" w:hAnsi="Tahoma" w:cs="Tahoma"/>
          <w:sz w:val="24"/>
          <w:szCs w:val="24"/>
        </w:rPr>
      </w:pPr>
    </w:p>
    <w:p w:rsidR="00837F79" w:rsidRPr="003A54AA" w:rsidRDefault="00837F79"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(iv)</w:t>
      </w:r>
      <w:r w:rsidR="00345509">
        <w:rPr>
          <w:rFonts w:ascii="Tahoma" w:hAnsi="Tahoma" w:cs="Tahoma"/>
          <w:sz w:val="24"/>
          <w:szCs w:val="24"/>
        </w:rPr>
        <w:t xml:space="preserve"> </w:t>
      </w:r>
      <w:r w:rsidR="00313304" w:rsidRPr="003A54AA">
        <w:rPr>
          <w:rFonts w:ascii="Tahoma" w:hAnsi="Tahoma" w:cs="Tahoma"/>
          <w:sz w:val="24"/>
          <w:szCs w:val="24"/>
        </w:rPr>
        <w:t>A</w:t>
      </w:r>
      <w:proofErr w:type="gramEnd"/>
      <w:r w:rsidR="00313304" w:rsidRPr="003A54AA">
        <w:rPr>
          <w:rFonts w:ascii="Tahoma" w:hAnsi="Tahoma" w:cs="Tahoma"/>
          <w:sz w:val="24"/>
          <w:szCs w:val="24"/>
        </w:rPr>
        <w:t xml:space="preserve"> number of options for distributing employment land have been identified:</w:t>
      </w:r>
    </w:p>
    <w:p w:rsidR="00CE6F86" w:rsidRPr="003A54AA" w:rsidRDefault="00CE6F86" w:rsidP="00185000">
      <w:pPr>
        <w:autoSpaceDE w:val="0"/>
        <w:autoSpaceDN w:val="0"/>
        <w:adjustRightInd w:val="0"/>
        <w:spacing w:after="0" w:line="240" w:lineRule="auto"/>
        <w:jc w:val="both"/>
        <w:rPr>
          <w:rFonts w:ascii="Tahoma" w:hAnsi="Tahoma" w:cs="Tahoma"/>
          <w:sz w:val="24"/>
          <w:szCs w:val="24"/>
        </w:rPr>
      </w:pPr>
    </w:p>
    <w:p w:rsidR="00CE6F86" w:rsidRPr="003A54AA" w:rsidRDefault="00CE6F86"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Option 1 – Equal share of zoned land between Newry and Downpat</w:t>
      </w:r>
      <w:r w:rsidR="00F45D81" w:rsidRPr="003A54AA">
        <w:rPr>
          <w:rFonts w:ascii="Tahoma" w:hAnsi="Tahoma" w:cs="Tahoma"/>
          <w:sz w:val="24"/>
          <w:szCs w:val="24"/>
        </w:rPr>
        <w:t>rick. This would allocate 84.5</w:t>
      </w:r>
      <w:r w:rsidRPr="003A54AA">
        <w:rPr>
          <w:rFonts w:ascii="Tahoma" w:hAnsi="Tahoma" w:cs="Tahoma"/>
          <w:sz w:val="24"/>
          <w:szCs w:val="24"/>
        </w:rPr>
        <w:t xml:space="preserve"> ha to both Newry and Downpatrick.</w:t>
      </w:r>
    </w:p>
    <w:p w:rsidR="00CE6F86" w:rsidRPr="003A54AA" w:rsidRDefault="00CE6F86"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 xml:space="preserve">Option 2 – District hinterlands and catchment. </w:t>
      </w:r>
      <w:proofErr w:type="gramStart"/>
      <w:r w:rsidRPr="003A54AA">
        <w:rPr>
          <w:rFonts w:ascii="Tahoma" w:hAnsi="Tahoma" w:cs="Tahoma"/>
          <w:sz w:val="24"/>
          <w:szCs w:val="24"/>
        </w:rPr>
        <w:t>Based on population of each former district 58.8% to Newry and 41.2% to Down</w:t>
      </w:r>
      <w:r w:rsidR="008D1D4E">
        <w:rPr>
          <w:rFonts w:ascii="Tahoma" w:hAnsi="Tahoma" w:cs="Tahoma"/>
          <w:sz w:val="24"/>
          <w:szCs w:val="24"/>
        </w:rPr>
        <w:t>patrick</w:t>
      </w:r>
      <w:r w:rsidRPr="003A54AA">
        <w:rPr>
          <w:rFonts w:ascii="Tahoma" w:hAnsi="Tahoma" w:cs="Tahoma"/>
          <w:sz w:val="24"/>
          <w:szCs w:val="24"/>
        </w:rPr>
        <w:t>.</w:t>
      </w:r>
      <w:proofErr w:type="gramEnd"/>
      <w:r w:rsidRPr="003A54AA">
        <w:rPr>
          <w:rFonts w:ascii="Tahoma" w:hAnsi="Tahoma" w:cs="Tahoma"/>
          <w:sz w:val="24"/>
          <w:szCs w:val="24"/>
        </w:rPr>
        <w:t xml:space="preserve"> This e</w:t>
      </w:r>
      <w:r w:rsidR="004D1AEA" w:rsidRPr="003A54AA">
        <w:rPr>
          <w:rFonts w:ascii="Tahoma" w:hAnsi="Tahoma" w:cs="Tahoma"/>
          <w:sz w:val="24"/>
          <w:szCs w:val="24"/>
        </w:rPr>
        <w:t>quates to 99 ha for Newry and 70</w:t>
      </w:r>
      <w:r w:rsidRPr="003A54AA">
        <w:rPr>
          <w:rFonts w:ascii="Tahoma" w:hAnsi="Tahoma" w:cs="Tahoma"/>
          <w:sz w:val="24"/>
          <w:szCs w:val="24"/>
        </w:rPr>
        <w:t xml:space="preserve"> for Down</w:t>
      </w:r>
      <w:r w:rsidR="008D1D4E">
        <w:rPr>
          <w:rFonts w:ascii="Tahoma" w:hAnsi="Tahoma" w:cs="Tahoma"/>
          <w:sz w:val="24"/>
          <w:szCs w:val="24"/>
        </w:rPr>
        <w:t>patrick</w:t>
      </w:r>
      <w:r w:rsidRPr="003A54AA">
        <w:rPr>
          <w:rFonts w:ascii="Tahoma" w:hAnsi="Tahoma" w:cs="Tahoma"/>
          <w:sz w:val="24"/>
          <w:szCs w:val="24"/>
        </w:rPr>
        <w:t>.</w:t>
      </w:r>
    </w:p>
    <w:p w:rsidR="00CE6F86" w:rsidRPr="003A54AA" w:rsidRDefault="00CE6F86" w:rsidP="00185000">
      <w:pPr>
        <w:autoSpaceDE w:val="0"/>
        <w:autoSpaceDN w:val="0"/>
        <w:adjustRightInd w:val="0"/>
        <w:spacing w:after="0" w:line="240" w:lineRule="auto"/>
        <w:jc w:val="both"/>
        <w:rPr>
          <w:rFonts w:ascii="Tahoma" w:hAnsi="Tahoma" w:cs="Tahoma"/>
          <w:color w:val="FF0000"/>
          <w:sz w:val="24"/>
          <w:szCs w:val="24"/>
        </w:rPr>
      </w:pPr>
      <w:r w:rsidRPr="003A54AA">
        <w:rPr>
          <w:rFonts w:ascii="Tahoma" w:hAnsi="Tahoma" w:cs="Tahoma"/>
          <w:sz w:val="24"/>
          <w:szCs w:val="24"/>
        </w:rPr>
        <w:t>Option 3 – Focus growth on the main hubs only. Newry contains 26,893 people (71.2%) and Downpatrick 10,874 (28.8%). On th</w:t>
      </w:r>
      <w:r w:rsidR="004D1AEA" w:rsidRPr="003A54AA">
        <w:rPr>
          <w:rFonts w:ascii="Tahoma" w:hAnsi="Tahoma" w:cs="Tahoma"/>
          <w:sz w:val="24"/>
          <w:szCs w:val="24"/>
        </w:rPr>
        <w:t>is basis Newry would receive 120</w:t>
      </w:r>
      <w:r w:rsidRPr="003A54AA">
        <w:rPr>
          <w:rFonts w:ascii="Tahoma" w:hAnsi="Tahoma" w:cs="Tahoma"/>
          <w:sz w:val="24"/>
          <w:szCs w:val="24"/>
        </w:rPr>
        <w:t xml:space="preserve"> ha wh</w:t>
      </w:r>
      <w:r w:rsidR="004D1AEA" w:rsidRPr="003A54AA">
        <w:rPr>
          <w:rFonts w:ascii="Tahoma" w:hAnsi="Tahoma" w:cs="Tahoma"/>
          <w:sz w:val="24"/>
          <w:szCs w:val="24"/>
        </w:rPr>
        <w:t>ile Downpatrick would receive 49</w:t>
      </w:r>
      <w:r w:rsidRPr="003A54AA">
        <w:rPr>
          <w:rFonts w:ascii="Tahoma" w:hAnsi="Tahoma" w:cs="Tahoma"/>
          <w:sz w:val="24"/>
          <w:szCs w:val="24"/>
        </w:rPr>
        <w:t xml:space="preserve"> ha.</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r w:rsidRPr="003A54AA">
        <w:rPr>
          <w:rFonts w:ascii="Tahoma" w:hAnsi="Tahoma" w:cs="Tahoma"/>
          <w:sz w:val="24"/>
          <w:szCs w:val="24"/>
        </w:rPr>
        <w:t xml:space="preserve">Land should also be allocated in the local towns </w:t>
      </w:r>
      <w:r w:rsidR="00F45D81" w:rsidRPr="003A54AA">
        <w:rPr>
          <w:rFonts w:ascii="Tahoma" w:hAnsi="Tahoma" w:cs="Tahoma"/>
          <w:sz w:val="24"/>
          <w:szCs w:val="24"/>
        </w:rPr>
        <w:t xml:space="preserve">and it is recommended that this is done on the basis of </w:t>
      </w:r>
      <w:r w:rsidRPr="003A54AA">
        <w:rPr>
          <w:rFonts w:ascii="Tahoma" w:hAnsi="Tahoma" w:cs="Tahoma"/>
          <w:sz w:val="24"/>
          <w:szCs w:val="24"/>
        </w:rPr>
        <w:t>their</w:t>
      </w:r>
      <w:r w:rsidR="00CE6F86" w:rsidRPr="003A54AA">
        <w:rPr>
          <w:rFonts w:ascii="Tahoma" w:hAnsi="Tahoma" w:cs="Tahoma"/>
          <w:color w:val="FF0000"/>
          <w:sz w:val="24"/>
          <w:szCs w:val="24"/>
        </w:rPr>
        <w:t xml:space="preserve"> </w:t>
      </w:r>
      <w:r w:rsidR="00CE6F86" w:rsidRPr="003A54AA">
        <w:rPr>
          <w:rFonts w:ascii="Tahoma" w:hAnsi="Tahoma" w:cs="Tahoma"/>
          <w:sz w:val="24"/>
          <w:szCs w:val="24"/>
        </w:rPr>
        <w:t>population</w:t>
      </w:r>
      <w:r w:rsidR="00F45D81" w:rsidRPr="003A54AA">
        <w:rPr>
          <w:rFonts w:ascii="Tahoma" w:hAnsi="Tahoma" w:cs="Tahoma"/>
          <w:sz w:val="24"/>
          <w:szCs w:val="24"/>
        </w:rPr>
        <w:t>s</w:t>
      </w:r>
      <w:r w:rsidR="00CE6F86" w:rsidRPr="003A54AA">
        <w:rPr>
          <w:rFonts w:ascii="Tahoma" w:hAnsi="Tahoma" w:cs="Tahoma"/>
          <w:sz w:val="24"/>
          <w:szCs w:val="24"/>
        </w:rPr>
        <w:t xml:space="preserve"> and hinterland</w:t>
      </w:r>
      <w:r w:rsidR="00B806FC" w:rsidRPr="003A54AA">
        <w:rPr>
          <w:rFonts w:ascii="Tahoma" w:hAnsi="Tahoma" w:cs="Tahoma"/>
          <w:sz w:val="24"/>
          <w:szCs w:val="24"/>
        </w:rPr>
        <w:t>s</w:t>
      </w:r>
      <w:r w:rsidR="00CE6F86" w:rsidRPr="003A54AA">
        <w:rPr>
          <w:rFonts w:ascii="Tahoma" w:hAnsi="Tahoma" w:cs="Tahoma"/>
          <w:sz w:val="24"/>
          <w:szCs w:val="24"/>
        </w:rPr>
        <w:t>.</w:t>
      </w:r>
      <w:r w:rsidR="00480A8C">
        <w:rPr>
          <w:rFonts w:ascii="Tahoma" w:hAnsi="Tahoma" w:cs="Tahoma"/>
          <w:sz w:val="24"/>
          <w:szCs w:val="24"/>
        </w:rPr>
        <w:t xml:space="preserve"> </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(v) The Plan should also be innovative in its approach to zonings,</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recognising</w:t>
      </w:r>
      <w:proofErr w:type="gramEnd"/>
      <w:r w:rsidRPr="003A54AA">
        <w:rPr>
          <w:rFonts w:ascii="Tahoma" w:hAnsi="Tahoma" w:cs="Tahoma"/>
          <w:sz w:val="24"/>
          <w:szCs w:val="24"/>
        </w:rPr>
        <w:t xml:space="preserve"> the opportunities which </w:t>
      </w:r>
      <w:r w:rsidR="00894209" w:rsidRPr="003A54AA">
        <w:rPr>
          <w:rFonts w:ascii="Tahoma" w:hAnsi="Tahoma" w:cs="Tahoma"/>
          <w:sz w:val="24"/>
          <w:szCs w:val="24"/>
        </w:rPr>
        <w:t xml:space="preserve">exist adjacent to key transport corridors. </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(vi) The</w:t>
      </w:r>
      <w:proofErr w:type="gramEnd"/>
      <w:r w:rsidRPr="003A54AA">
        <w:rPr>
          <w:rFonts w:ascii="Tahoma" w:hAnsi="Tahoma" w:cs="Tahoma"/>
          <w:sz w:val="24"/>
          <w:szCs w:val="24"/>
        </w:rPr>
        <w:t xml:space="preserve"> Plan can help tackle disadvantage and facilitate job creation by</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providing</w:t>
      </w:r>
      <w:proofErr w:type="gramEnd"/>
      <w:r w:rsidRPr="003A54AA">
        <w:rPr>
          <w:rFonts w:ascii="Tahoma" w:hAnsi="Tahoma" w:cs="Tahoma"/>
          <w:sz w:val="24"/>
          <w:szCs w:val="24"/>
        </w:rPr>
        <w:t xml:space="preserve"> a range of suitable sites for economic development including</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opportunities</w:t>
      </w:r>
      <w:proofErr w:type="gramEnd"/>
      <w:r w:rsidRPr="003A54AA">
        <w:rPr>
          <w:rFonts w:ascii="Tahoma" w:hAnsi="Tahoma" w:cs="Tahoma"/>
          <w:sz w:val="24"/>
          <w:szCs w:val="24"/>
        </w:rPr>
        <w:t xml:space="preserve"> for regeneration and mixed use developments.</w:t>
      </w:r>
    </w:p>
    <w:p w:rsidR="00545BA0" w:rsidRPr="003A54AA" w:rsidRDefault="00545BA0" w:rsidP="00545BA0">
      <w:pPr>
        <w:autoSpaceDE w:val="0"/>
        <w:autoSpaceDN w:val="0"/>
        <w:adjustRightInd w:val="0"/>
        <w:spacing w:after="0" w:line="240" w:lineRule="auto"/>
        <w:rPr>
          <w:rFonts w:ascii="Tahoma" w:hAnsi="Tahoma" w:cs="Tahoma"/>
          <w:color w:val="FF0000"/>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(vii) It must be recognised that a development plan’s economic zonings will</w:t>
      </w:r>
    </w:p>
    <w:p w:rsidR="00545BA0" w:rsidRPr="003A54AA"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not</w:t>
      </w:r>
      <w:proofErr w:type="gramEnd"/>
      <w:r w:rsidRPr="003A54AA">
        <w:rPr>
          <w:rFonts w:ascii="Tahoma" w:hAnsi="Tahoma" w:cs="Tahoma"/>
          <w:sz w:val="24"/>
          <w:szCs w:val="24"/>
        </w:rPr>
        <w:t xml:space="preserve"> cater for all future economic growth. Within </w:t>
      </w:r>
      <w:r w:rsidR="00894209" w:rsidRPr="003A54AA">
        <w:rPr>
          <w:rFonts w:ascii="Tahoma" w:hAnsi="Tahoma" w:cs="Tahoma"/>
          <w:sz w:val="24"/>
          <w:szCs w:val="24"/>
        </w:rPr>
        <w:t xml:space="preserve">Newry, </w:t>
      </w:r>
      <w:proofErr w:type="spellStart"/>
      <w:r w:rsidR="00894209" w:rsidRPr="003A54AA">
        <w:rPr>
          <w:rFonts w:ascii="Tahoma" w:hAnsi="Tahoma" w:cs="Tahoma"/>
          <w:sz w:val="24"/>
          <w:szCs w:val="24"/>
        </w:rPr>
        <w:t>Mourne</w:t>
      </w:r>
      <w:proofErr w:type="spellEnd"/>
      <w:r w:rsidR="00894209" w:rsidRPr="003A54AA">
        <w:rPr>
          <w:rFonts w:ascii="Tahoma" w:hAnsi="Tahoma" w:cs="Tahoma"/>
          <w:sz w:val="24"/>
          <w:szCs w:val="24"/>
        </w:rPr>
        <w:t xml:space="preserve"> and </w:t>
      </w:r>
      <w:proofErr w:type="gramStart"/>
      <w:r w:rsidR="00894209" w:rsidRPr="003A54AA">
        <w:rPr>
          <w:rFonts w:ascii="Tahoma" w:hAnsi="Tahoma" w:cs="Tahoma"/>
          <w:sz w:val="24"/>
          <w:szCs w:val="24"/>
        </w:rPr>
        <w:t>Down</w:t>
      </w:r>
      <w:proofErr w:type="gramEnd"/>
      <w:r w:rsidR="00894209" w:rsidRPr="003A54AA">
        <w:rPr>
          <w:rFonts w:ascii="Tahoma" w:hAnsi="Tahoma" w:cs="Tahoma"/>
          <w:sz w:val="24"/>
          <w:szCs w:val="24"/>
        </w:rPr>
        <w:t xml:space="preserve"> </w:t>
      </w:r>
      <w:r w:rsidRPr="003A54AA">
        <w:rPr>
          <w:rFonts w:ascii="Tahoma" w:hAnsi="Tahoma" w:cs="Tahoma"/>
          <w:sz w:val="24"/>
          <w:szCs w:val="24"/>
        </w:rPr>
        <w:t>there is a vibrant rural entrepreneurial spirit within the villages and open countryside. It is important that the Plan provides policy which can facilitate sustainable rural businesses.</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545BA0" w:rsidRPr="003A54AA" w:rsidRDefault="00545BA0" w:rsidP="00185000">
      <w:pPr>
        <w:autoSpaceDE w:val="0"/>
        <w:autoSpaceDN w:val="0"/>
        <w:adjustRightInd w:val="0"/>
        <w:spacing w:after="0" w:line="240" w:lineRule="auto"/>
        <w:jc w:val="both"/>
        <w:rPr>
          <w:rFonts w:ascii="Tahoma" w:hAnsi="Tahoma" w:cs="Tahoma"/>
          <w:sz w:val="24"/>
          <w:szCs w:val="24"/>
        </w:rPr>
      </w:pPr>
      <w:r w:rsidRPr="003A54AA">
        <w:rPr>
          <w:rFonts w:ascii="Tahoma" w:hAnsi="Tahoma" w:cs="Tahoma"/>
          <w:sz w:val="24"/>
          <w:szCs w:val="24"/>
        </w:rPr>
        <w:t>(viii) Where there is a skills gap, there may be a need to provide additional</w:t>
      </w:r>
    </w:p>
    <w:p w:rsidR="00545BA0" w:rsidRDefault="00545BA0" w:rsidP="00185000">
      <w:pPr>
        <w:autoSpaceDE w:val="0"/>
        <w:autoSpaceDN w:val="0"/>
        <w:adjustRightInd w:val="0"/>
        <w:spacing w:after="0" w:line="240" w:lineRule="auto"/>
        <w:jc w:val="both"/>
        <w:rPr>
          <w:rFonts w:ascii="Tahoma" w:hAnsi="Tahoma" w:cs="Tahoma"/>
          <w:sz w:val="24"/>
          <w:szCs w:val="24"/>
        </w:rPr>
      </w:pPr>
      <w:proofErr w:type="gramStart"/>
      <w:r w:rsidRPr="003A54AA">
        <w:rPr>
          <w:rFonts w:ascii="Tahoma" w:hAnsi="Tahoma" w:cs="Tahoma"/>
          <w:sz w:val="24"/>
          <w:szCs w:val="24"/>
        </w:rPr>
        <w:t>training</w:t>
      </w:r>
      <w:proofErr w:type="gramEnd"/>
      <w:r w:rsidRPr="003A54AA">
        <w:rPr>
          <w:rFonts w:ascii="Tahoma" w:hAnsi="Tahoma" w:cs="Tahoma"/>
          <w:sz w:val="24"/>
          <w:szCs w:val="24"/>
        </w:rPr>
        <w:t xml:space="preserve"> as well as the provision of community and other public facilities. Where such a need is required, it should be identified through the Community Plan. If there are firm proposals, the Plan should provide a flexible policy to facilitate them by reserving land through zonings.</w:t>
      </w:r>
    </w:p>
    <w:p w:rsidR="00EA2713" w:rsidRDefault="00EA2713" w:rsidP="00185000">
      <w:pPr>
        <w:autoSpaceDE w:val="0"/>
        <w:autoSpaceDN w:val="0"/>
        <w:adjustRightInd w:val="0"/>
        <w:spacing w:after="0" w:line="240" w:lineRule="auto"/>
        <w:jc w:val="both"/>
        <w:rPr>
          <w:rFonts w:ascii="Tahoma" w:hAnsi="Tahoma" w:cs="Tahoma"/>
          <w:sz w:val="24"/>
          <w:szCs w:val="24"/>
        </w:rPr>
      </w:pPr>
    </w:p>
    <w:p w:rsidR="00EA2713" w:rsidRPr="003A54AA" w:rsidRDefault="00EA2713" w:rsidP="00185000">
      <w:pPr>
        <w:autoSpaceDE w:val="0"/>
        <w:autoSpaceDN w:val="0"/>
        <w:adjustRightInd w:val="0"/>
        <w:spacing w:after="0" w:line="240" w:lineRule="auto"/>
        <w:jc w:val="both"/>
        <w:rPr>
          <w:rFonts w:ascii="Tahoma" w:hAnsi="Tahoma" w:cs="Tahoma"/>
          <w:sz w:val="24"/>
          <w:szCs w:val="24"/>
        </w:rPr>
      </w:pPr>
      <w:r w:rsidRPr="00EA2713">
        <w:rPr>
          <w:rFonts w:ascii="Tahoma" w:hAnsi="Tahoma" w:cs="Tahoma"/>
          <w:b/>
          <w:sz w:val="24"/>
          <w:szCs w:val="24"/>
        </w:rPr>
        <w:t>10.3</w:t>
      </w:r>
      <w:r w:rsidRPr="00EA2713">
        <w:t xml:space="preserve"> </w:t>
      </w:r>
      <w:r w:rsidRPr="00EA2713">
        <w:rPr>
          <w:rFonts w:ascii="Tahoma" w:hAnsi="Tahoma" w:cs="Tahoma"/>
          <w:sz w:val="24"/>
          <w:szCs w:val="24"/>
        </w:rPr>
        <w:t xml:space="preserve">With approximately 175 hectares of economic development land remaining across Newry, </w:t>
      </w:r>
      <w:proofErr w:type="spellStart"/>
      <w:r w:rsidRPr="00EA2713">
        <w:rPr>
          <w:rFonts w:ascii="Tahoma" w:hAnsi="Tahoma" w:cs="Tahoma"/>
          <w:sz w:val="24"/>
          <w:szCs w:val="24"/>
        </w:rPr>
        <w:t>Mourne</w:t>
      </w:r>
      <w:proofErr w:type="spellEnd"/>
      <w:r w:rsidRPr="00EA2713">
        <w:rPr>
          <w:rFonts w:ascii="Tahoma" w:hAnsi="Tahoma" w:cs="Tahoma"/>
          <w:sz w:val="24"/>
          <w:szCs w:val="24"/>
        </w:rPr>
        <w:t xml:space="preserve"> and </w:t>
      </w:r>
      <w:proofErr w:type="gramStart"/>
      <w:r w:rsidRPr="00EA2713">
        <w:rPr>
          <w:rFonts w:ascii="Tahoma" w:hAnsi="Tahoma" w:cs="Tahoma"/>
          <w:sz w:val="24"/>
          <w:szCs w:val="24"/>
        </w:rPr>
        <w:t>Down</w:t>
      </w:r>
      <w:proofErr w:type="gramEnd"/>
      <w:r w:rsidRPr="00EA2713">
        <w:rPr>
          <w:rFonts w:ascii="Tahoma" w:hAnsi="Tahoma" w:cs="Tahoma"/>
          <w:sz w:val="24"/>
          <w:szCs w:val="24"/>
        </w:rPr>
        <w:t>, there may be no immediate need to identify additional land.</w:t>
      </w:r>
    </w:p>
    <w:p w:rsidR="00545BA0" w:rsidRPr="003A54AA" w:rsidRDefault="00545BA0" w:rsidP="00185000">
      <w:pPr>
        <w:autoSpaceDE w:val="0"/>
        <w:autoSpaceDN w:val="0"/>
        <w:adjustRightInd w:val="0"/>
        <w:spacing w:after="0" w:line="240" w:lineRule="auto"/>
        <w:jc w:val="both"/>
        <w:rPr>
          <w:rFonts w:ascii="Tahoma" w:hAnsi="Tahoma" w:cs="Tahoma"/>
          <w:color w:val="FF0000"/>
          <w:sz w:val="24"/>
          <w:szCs w:val="24"/>
        </w:rPr>
      </w:pPr>
    </w:p>
    <w:p w:rsidR="009338A1" w:rsidRPr="003A54AA" w:rsidRDefault="00EA2713" w:rsidP="00185000">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t>10.4</w:t>
      </w:r>
      <w:r w:rsidR="00B710CB" w:rsidRPr="003A54AA">
        <w:rPr>
          <w:rFonts w:ascii="Tahoma" w:hAnsi="Tahoma" w:cs="Tahoma"/>
          <w:sz w:val="24"/>
          <w:szCs w:val="24"/>
        </w:rPr>
        <w:t xml:space="preserve"> </w:t>
      </w:r>
      <w:r w:rsidR="003F2672">
        <w:rPr>
          <w:rFonts w:ascii="Tahoma" w:hAnsi="Tahoma" w:cs="Tahoma"/>
          <w:sz w:val="24"/>
          <w:szCs w:val="24"/>
        </w:rPr>
        <w:tab/>
      </w:r>
      <w:r w:rsidR="009338A1" w:rsidRPr="003A54AA">
        <w:rPr>
          <w:rFonts w:ascii="Tahoma" w:hAnsi="Tahoma" w:cs="Tahoma"/>
          <w:sz w:val="24"/>
          <w:szCs w:val="24"/>
        </w:rPr>
        <w:t xml:space="preserve">There is a need </w:t>
      </w:r>
      <w:r>
        <w:rPr>
          <w:rFonts w:ascii="Tahoma" w:hAnsi="Tahoma" w:cs="Tahoma"/>
          <w:sz w:val="24"/>
          <w:szCs w:val="24"/>
        </w:rPr>
        <w:t xml:space="preserve">however </w:t>
      </w:r>
      <w:r w:rsidR="009338A1" w:rsidRPr="003A54AA">
        <w:rPr>
          <w:rFonts w:ascii="Tahoma" w:hAnsi="Tahoma" w:cs="Tahoma"/>
          <w:sz w:val="24"/>
          <w:szCs w:val="24"/>
        </w:rPr>
        <w:t>for a full evaluation of the deliverability of lands currently zoned to determine whether the owners are willing to provide this land for economic development, other constraints to development and whether there are others willing to provide land.</w:t>
      </w:r>
      <w:r w:rsidR="00FC104B">
        <w:rPr>
          <w:rFonts w:ascii="Tahoma" w:hAnsi="Tahoma" w:cs="Tahoma"/>
          <w:sz w:val="24"/>
          <w:szCs w:val="24"/>
        </w:rPr>
        <w:t xml:space="preserve"> An evaluation of sites will be undertaken before final zonings are included in the Local Policies Plan.</w:t>
      </w:r>
    </w:p>
    <w:p w:rsidR="00345E60" w:rsidRPr="003A54AA" w:rsidRDefault="00345E60" w:rsidP="00185000">
      <w:pPr>
        <w:autoSpaceDE w:val="0"/>
        <w:autoSpaceDN w:val="0"/>
        <w:adjustRightInd w:val="0"/>
        <w:spacing w:after="0" w:line="240" w:lineRule="auto"/>
        <w:jc w:val="both"/>
        <w:rPr>
          <w:rFonts w:ascii="Tahoma" w:hAnsi="Tahoma" w:cs="Tahoma"/>
          <w:sz w:val="24"/>
          <w:szCs w:val="24"/>
        </w:rPr>
      </w:pPr>
    </w:p>
    <w:p w:rsidR="00800E3D" w:rsidRPr="003A54AA" w:rsidRDefault="00EA2713" w:rsidP="00185000">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t>10.5</w:t>
      </w:r>
      <w:r w:rsidR="00800E3D" w:rsidRPr="003A54AA">
        <w:rPr>
          <w:rFonts w:ascii="Tahoma" w:hAnsi="Tahoma" w:cs="Tahoma"/>
          <w:sz w:val="24"/>
          <w:szCs w:val="24"/>
        </w:rPr>
        <w:t xml:space="preserve"> </w:t>
      </w:r>
      <w:r w:rsidR="00345509">
        <w:rPr>
          <w:rFonts w:ascii="Tahoma" w:hAnsi="Tahoma" w:cs="Tahoma"/>
          <w:sz w:val="24"/>
          <w:szCs w:val="24"/>
        </w:rPr>
        <w:t xml:space="preserve">A review of policies within PPS4 should be undertaken to identify options for policy revisions for member consideration.  This should include whether sufficient protection is afforded to existing industrial sites. </w:t>
      </w:r>
    </w:p>
    <w:p w:rsidR="00800E3D" w:rsidRPr="003A54AA" w:rsidRDefault="00800E3D" w:rsidP="00185000">
      <w:pPr>
        <w:autoSpaceDE w:val="0"/>
        <w:autoSpaceDN w:val="0"/>
        <w:adjustRightInd w:val="0"/>
        <w:spacing w:after="0" w:line="240" w:lineRule="auto"/>
        <w:jc w:val="both"/>
        <w:rPr>
          <w:rFonts w:ascii="Tahoma" w:hAnsi="Tahoma" w:cs="Tahoma"/>
          <w:sz w:val="24"/>
          <w:szCs w:val="24"/>
        </w:rPr>
      </w:pPr>
    </w:p>
    <w:p w:rsidR="00800E3D" w:rsidRPr="003A54AA" w:rsidRDefault="00EA2713" w:rsidP="00185000">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t>10.6</w:t>
      </w:r>
      <w:r w:rsidR="00800E3D" w:rsidRPr="003A54AA">
        <w:rPr>
          <w:rFonts w:ascii="Tahoma" w:hAnsi="Tahoma" w:cs="Tahoma"/>
          <w:sz w:val="24"/>
          <w:szCs w:val="24"/>
        </w:rPr>
        <w:t xml:space="preserve"> </w:t>
      </w:r>
      <w:r w:rsidR="003F2672">
        <w:rPr>
          <w:rFonts w:ascii="Tahoma" w:hAnsi="Tahoma" w:cs="Tahoma"/>
          <w:sz w:val="24"/>
          <w:szCs w:val="24"/>
        </w:rPr>
        <w:tab/>
      </w:r>
      <w:r w:rsidR="00800E3D" w:rsidRPr="003A54AA">
        <w:rPr>
          <w:rFonts w:ascii="Tahoma" w:hAnsi="Tahoma" w:cs="Tahoma"/>
          <w:sz w:val="24"/>
          <w:szCs w:val="24"/>
        </w:rPr>
        <w:t>Once the Council’s local development plan is adopted the Council will be required to monitor employment land supply on an annual basis as part of the statutory Annual Monitoring Report. Such monitoring will highlight any issues arising and will allow assessment of plan policies and proposals that meets the needs of the population.</w:t>
      </w:r>
    </w:p>
    <w:p w:rsidR="00B710CB" w:rsidRPr="003A54AA" w:rsidRDefault="00B710CB" w:rsidP="00185000">
      <w:pPr>
        <w:autoSpaceDE w:val="0"/>
        <w:autoSpaceDN w:val="0"/>
        <w:adjustRightInd w:val="0"/>
        <w:spacing w:after="0" w:line="240" w:lineRule="auto"/>
        <w:jc w:val="both"/>
        <w:rPr>
          <w:rFonts w:ascii="Tahoma" w:hAnsi="Tahoma" w:cs="Tahoma"/>
          <w:sz w:val="24"/>
          <w:szCs w:val="24"/>
        </w:rPr>
      </w:pPr>
    </w:p>
    <w:p w:rsidR="00B806FC" w:rsidRPr="003A54AA" w:rsidRDefault="00EA2713" w:rsidP="00185000">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10.7</w:t>
      </w:r>
      <w:r w:rsidR="00545BA0" w:rsidRPr="003A54AA">
        <w:rPr>
          <w:rFonts w:ascii="Tahoma" w:hAnsi="Tahoma" w:cs="Tahoma"/>
          <w:b/>
          <w:bCs/>
          <w:sz w:val="24"/>
          <w:szCs w:val="24"/>
        </w:rPr>
        <w:t xml:space="preserve"> </w:t>
      </w:r>
      <w:r w:rsidR="00FA20B9">
        <w:rPr>
          <w:rFonts w:ascii="Tahoma" w:hAnsi="Tahoma" w:cs="Tahoma"/>
          <w:sz w:val="24"/>
          <w:szCs w:val="24"/>
        </w:rPr>
        <w:t>T</w:t>
      </w:r>
      <w:r w:rsidR="00B806FC" w:rsidRPr="003A54AA">
        <w:rPr>
          <w:rFonts w:ascii="Tahoma" w:hAnsi="Tahoma" w:cs="Tahoma"/>
          <w:sz w:val="24"/>
          <w:szCs w:val="24"/>
        </w:rPr>
        <w:t xml:space="preserve">he plan team would welcome member views on the options </w:t>
      </w:r>
      <w:r w:rsidR="0034055B">
        <w:rPr>
          <w:rFonts w:ascii="Tahoma" w:hAnsi="Tahoma" w:cs="Tahoma"/>
          <w:sz w:val="24"/>
          <w:szCs w:val="24"/>
        </w:rPr>
        <w:t xml:space="preserve">that have been presented </w:t>
      </w:r>
      <w:r w:rsidR="00B806FC" w:rsidRPr="003A54AA">
        <w:rPr>
          <w:rFonts w:ascii="Tahoma" w:hAnsi="Tahoma" w:cs="Tahoma"/>
          <w:sz w:val="24"/>
          <w:szCs w:val="24"/>
        </w:rPr>
        <w:t>for allocating emplo</w:t>
      </w:r>
      <w:r w:rsidR="00AB0D9C">
        <w:rPr>
          <w:rFonts w:ascii="Tahoma" w:hAnsi="Tahoma" w:cs="Tahoma"/>
          <w:sz w:val="24"/>
          <w:szCs w:val="24"/>
        </w:rPr>
        <w:t>yment land across the plan area.</w:t>
      </w:r>
    </w:p>
    <w:p w:rsidR="005E37B7" w:rsidRPr="003A54AA" w:rsidRDefault="005E37B7" w:rsidP="00185000">
      <w:pPr>
        <w:jc w:val="both"/>
        <w:rPr>
          <w:rFonts w:ascii="Tahoma" w:hAnsi="Tahoma" w:cs="Tahoma"/>
          <w:sz w:val="24"/>
          <w:szCs w:val="24"/>
        </w:rPr>
      </w:pPr>
      <w:r w:rsidRPr="003A54AA">
        <w:rPr>
          <w:rFonts w:ascii="Tahoma" w:hAnsi="Tahoma" w:cs="Tahoma"/>
          <w:sz w:val="24"/>
          <w:szCs w:val="24"/>
        </w:rPr>
        <w:br w:type="page"/>
      </w:r>
    </w:p>
    <w:p w:rsidR="00F00335" w:rsidRPr="003A54AA" w:rsidRDefault="00F00335" w:rsidP="00F00335">
      <w:pPr>
        <w:rPr>
          <w:rFonts w:ascii="Tahoma" w:hAnsi="Tahoma" w:cs="Tahoma"/>
          <w:b/>
          <w:bCs/>
          <w:sz w:val="24"/>
          <w:szCs w:val="24"/>
        </w:rPr>
      </w:pPr>
      <w:r w:rsidRPr="003A54AA">
        <w:rPr>
          <w:rFonts w:ascii="Tahoma" w:hAnsi="Tahoma" w:cs="Tahoma"/>
          <w:b/>
          <w:bCs/>
          <w:sz w:val="24"/>
          <w:szCs w:val="24"/>
        </w:rPr>
        <w:lastRenderedPageBreak/>
        <w:t xml:space="preserve">Appendix A Employment </w:t>
      </w:r>
      <w:r w:rsidR="00E53773" w:rsidRPr="003A54AA">
        <w:rPr>
          <w:rFonts w:ascii="Tahoma" w:hAnsi="Tahoma" w:cs="Tahoma"/>
          <w:b/>
          <w:bCs/>
          <w:sz w:val="24"/>
          <w:szCs w:val="24"/>
        </w:rPr>
        <w:t>L</w:t>
      </w:r>
      <w:r w:rsidRPr="003A54AA">
        <w:rPr>
          <w:rFonts w:ascii="Tahoma" w:hAnsi="Tahoma" w:cs="Tahoma"/>
          <w:b/>
          <w:bCs/>
          <w:sz w:val="24"/>
          <w:szCs w:val="24"/>
        </w:rPr>
        <w:t>and</w:t>
      </w:r>
      <w:r w:rsidR="00E53773" w:rsidRPr="003A54AA">
        <w:rPr>
          <w:rFonts w:ascii="Tahoma" w:hAnsi="Tahoma" w:cs="Tahoma"/>
          <w:b/>
          <w:bCs/>
          <w:sz w:val="24"/>
          <w:szCs w:val="24"/>
        </w:rPr>
        <w:t xml:space="preserve"> Evaluation Framework </w:t>
      </w:r>
    </w:p>
    <w:p w:rsidR="00F00335" w:rsidRDefault="00F00335" w:rsidP="00F00335">
      <w:pPr>
        <w:rPr>
          <w:rFonts w:ascii="Arial" w:hAnsi="Arial" w:cs="Arial"/>
          <w:b/>
          <w:bCs/>
          <w:sz w:val="24"/>
          <w:szCs w:val="24"/>
        </w:rPr>
      </w:pPr>
    </w:p>
    <w:tbl>
      <w:tblPr>
        <w:tblStyle w:val="TableGrid"/>
        <w:tblW w:w="0" w:type="auto"/>
        <w:tblLook w:val="04A0" w:firstRow="1" w:lastRow="0" w:firstColumn="1" w:lastColumn="0" w:noHBand="0" w:noVBand="1"/>
      </w:tblPr>
      <w:tblGrid>
        <w:gridCol w:w="3369"/>
        <w:gridCol w:w="5873"/>
      </w:tblGrid>
      <w:tr w:rsidR="00F00335" w:rsidTr="00F00335">
        <w:tc>
          <w:tcPr>
            <w:tcW w:w="3369" w:type="dxa"/>
          </w:tcPr>
          <w:p w:rsidR="00F00335" w:rsidRPr="003A54AA" w:rsidRDefault="00F00335">
            <w:pPr>
              <w:rPr>
                <w:rFonts w:ascii="Tahoma" w:hAnsi="Tahoma" w:cs="Tahoma"/>
                <w:b/>
                <w:sz w:val="24"/>
                <w:szCs w:val="24"/>
              </w:rPr>
            </w:pPr>
            <w:r w:rsidRPr="003A54AA">
              <w:rPr>
                <w:rFonts w:ascii="Tahoma" w:hAnsi="Tahoma" w:cs="Tahoma"/>
                <w:b/>
                <w:sz w:val="24"/>
                <w:szCs w:val="24"/>
              </w:rPr>
              <w:t>Stage 1</w:t>
            </w:r>
          </w:p>
          <w:p w:rsidR="00F00335" w:rsidRPr="003A54AA" w:rsidRDefault="00F00335">
            <w:pPr>
              <w:rPr>
                <w:rFonts w:ascii="Tahoma" w:hAnsi="Tahoma" w:cs="Tahoma"/>
                <w:sz w:val="24"/>
                <w:szCs w:val="24"/>
              </w:rPr>
            </w:pPr>
            <w:r w:rsidRPr="003A54AA">
              <w:rPr>
                <w:rFonts w:ascii="Tahoma" w:hAnsi="Tahoma" w:cs="Tahoma"/>
                <w:sz w:val="24"/>
                <w:szCs w:val="24"/>
              </w:rPr>
              <w:t>Taking stock of the existing situation</w:t>
            </w:r>
          </w:p>
        </w:tc>
        <w:tc>
          <w:tcPr>
            <w:tcW w:w="5873" w:type="dxa"/>
          </w:tcPr>
          <w:p w:rsidR="00F00335" w:rsidRPr="003A54AA" w:rsidRDefault="00F00335" w:rsidP="00185000">
            <w:pPr>
              <w:jc w:val="both"/>
              <w:rPr>
                <w:rFonts w:ascii="Tahoma" w:hAnsi="Tahoma" w:cs="Tahoma"/>
                <w:sz w:val="24"/>
                <w:szCs w:val="24"/>
              </w:rPr>
            </w:pPr>
            <w:r w:rsidRPr="003A54AA">
              <w:rPr>
                <w:rFonts w:ascii="Tahoma" w:hAnsi="Tahoma" w:cs="Tahoma"/>
                <w:sz w:val="24"/>
                <w:szCs w:val="24"/>
              </w:rPr>
              <w:t>An initial assessment</w:t>
            </w:r>
            <w:r w:rsidR="00D35AEB" w:rsidRPr="003A54AA">
              <w:rPr>
                <w:rFonts w:ascii="Tahoma" w:hAnsi="Tahoma" w:cs="Tahoma"/>
                <w:sz w:val="24"/>
                <w:szCs w:val="24"/>
              </w:rPr>
              <w:t xml:space="preserve"> </w:t>
            </w:r>
            <w:r w:rsidRPr="003A54AA">
              <w:rPr>
                <w:rFonts w:ascii="Tahoma" w:hAnsi="Tahoma" w:cs="Tahoma"/>
                <w:sz w:val="24"/>
                <w:szCs w:val="24"/>
              </w:rPr>
              <w:t>of the fitness for purpose including the environmental implications of the existing em</w:t>
            </w:r>
            <w:r w:rsidR="00322E8A">
              <w:rPr>
                <w:rFonts w:ascii="Tahoma" w:hAnsi="Tahoma" w:cs="Tahoma"/>
                <w:sz w:val="24"/>
                <w:szCs w:val="24"/>
              </w:rPr>
              <w:t>ployment land portfolio. This is</w:t>
            </w:r>
            <w:r w:rsidRPr="003A54AA">
              <w:rPr>
                <w:rFonts w:ascii="Tahoma" w:hAnsi="Tahoma" w:cs="Tahoma"/>
                <w:sz w:val="24"/>
                <w:szCs w:val="24"/>
              </w:rPr>
              <w:t xml:space="preserve"> principally in order to identify the best</w:t>
            </w:r>
            <w:r w:rsidR="003826F2" w:rsidRPr="003A54AA">
              <w:rPr>
                <w:rFonts w:ascii="Tahoma" w:hAnsi="Tahoma" w:cs="Tahoma"/>
                <w:sz w:val="24"/>
                <w:szCs w:val="24"/>
              </w:rPr>
              <w:t xml:space="preserve"> </w:t>
            </w:r>
            <w:r w:rsidRPr="003A54AA">
              <w:rPr>
                <w:rFonts w:ascii="Tahoma" w:hAnsi="Tahoma" w:cs="Tahoma"/>
                <w:sz w:val="24"/>
                <w:szCs w:val="24"/>
              </w:rPr>
              <w:t xml:space="preserve">employment sites to be retained and protected and identifying sites that should clearly be released for future uses </w:t>
            </w:r>
          </w:p>
        </w:tc>
      </w:tr>
      <w:tr w:rsidR="00F00335" w:rsidTr="00F00335">
        <w:tc>
          <w:tcPr>
            <w:tcW w:w="3369" w:type="dxa"/>
          </w:tcPr>
          <w:p w:rsidR="00F00335" w:rsidRPr="003A54AA" w:rsidRDefault="00F00335">
            <w:pPr>
              <w:rPr>
                <w:rFonts w:ascii="Tahoma" w:hAnsi="Tahoma" w:cs="Tahoma"/>
                <w:b/>
                <w:sz w:val="24"/>
                <w:szCs w:val="24"/>
              </w:rPr>
            </w:pPr>
            <w:r w:rsidRPr="003A54AA">
              <w:rPr>
                <w:rFonts w:ascii="Tahoma" w:hAnsi="Tahoma" w:cs="Tahoma"/>
                <w:b/>
                <w:sz w:val="24"/>
                <w:szCs w:val="24"/>
              </w:rPr>
              <w:t xml:space="preserve">Stage 2 </w:t>
            </w:r>
          </w:p>
          <w:p w:rsidR="00F00335" w:rsidRPr="003A54AA" w:rsidRDefault="00F00335">
            <w:pPr>
              <w:rPr>
                <w:rFonts w:ascii="Tahoma" w:hAnsi="Tahoma" w:cs="Tahoma"/>
                <w:sz w:val="24"/>
                <w:szCs w:val="24"/>
              </w:rPr>
            </w:pPr>
            <w:r w:rsidRPr="003A54AA">
              <w:rPr>
                <w:rFonts w:ascii="Tahoma" w:hAnsi="Tahoma" w:cs="Tahoma"/>
                <w:sz w:val="24"/>
                <w:szCs w:val="24"/>
              </w:rPr>
              <w:t>Understanding Future Requirements</w:t>
            </w:r>
          </w:p>
        </w:tc>
        <w:tc>
          <w:tcPr>
            <w:tcW w:w="5873" w:type="dxa"/>
          </w:tcPr>
          <w:p w:rsidR="00F00335" w:rsidRPr="003A54AA" w:rsidRDefault="00E53773" w:rsidP="00185000">
            <w:pPr>
              <w:jc w:val="both"/>
              <w:rPr>
                <w:rFonts w:ascii="Tahoma" w:hAnsi="Tahoma" w:cs="Tahoma"/>
                <w:sz w:val="24"/>
                <w:szCs w:val="24"/>
              </w:rPr>
            </w:pPr>
            <w:r w:rsidRPr="003A54AA">
              <w:rPr>
                <w:rFonts w:ascii="Tahoma" w:hAnsi="Tahoma" w:cs="Tahoma"/>
                <w:sz w:val="24"/>
                <w:szCs w:val="24"/>
              </w:rPr>
              <w:t>Quantify the amount of employment land required across the main business sectors during the development plan period.  This is achieved by assessing both demand and supply elements and assessing how they can be met in aggregate by the existing stock of business premises and by allocated sites. Account should also be taken of turnover of existing sites due to relocation or closures. Both short/medium term and strategic provision need to be considered in this process.</w:t>
            </w:r>
          </w:p>
        </w:tc>
      </w:tr>
      <w:tr w:rsidR="00F00335" w:rsidTr="00F00335">
        <w:tc>
          <w:tcPr>
            <w:tcW w:w="3369" w:type="dxa"/>
          </w:tcPr>
          <w:p w:rsidR="00F00335" w:rsidRPr="003A54AA" w:rsidRDefault="00F00335">
            <w:pPr>
              <w:rPr>
                <w:rFonts w:ascii="Tahoma" w:hAnsi="Tahoma" w:cs="Tahoma"/>
                <w:b/>
                <w:sz w:val="24"/>
                <w:szCs w:val="24"/>
              </w:rPr>
            </w:pPr>
            <w:r w:rsidRPr="003A54AA">
              <w:rPr>
                <w:rFonts w:ascii="Tahoma" w:hAnsi="Tahoma" w:cs="Tahoma"/>
                <w:b/>
                <w:sz w:val="24"/>
                <w:szCs w:val="24"/>
              </w:rPr>
              <w:t>Stage 3</w:t>
            </w:r>
          </w:p>
          <w:p w:rsidR="00F00335" w:rsidRPr="003A54AA" w:rsidRDefault="00F00335">
            <w:pPr>
              <w:rPr>
                <w:rFonts w:ascii="Tahoma" w:hAnsi="Tahoma" w:cs="Tahoma"/>
                <w:sz w:val="24"/>
                <w:szCs w:val="24"/>
              </w:rPr>
            </w:pPr>
            <w:r w:rsidRPr="003A54AA">
              <w:rPr>
                <w:rFonts w:ascii="Tahoma" w:hAnsi="Tahoma" w:cs="Tahoma"/>
                <w:sz w:val="24"/>
                <w:szCs w:val="24"/>
              </w:rPr>
              <w:t>Identifying a new portfolio of sites</w:t>
            </w:r>
          </w:p>
        </w:tc>
        <w:tc>
          <w:tcPr>
            <w:tcW w:w="5873" w:type="dxa"/>
          </w:tcPr>
          <w:p w:rsidR="00F00335" w:rsidRPr="003A54AA" w:rsidRDefault="00E53773" w:rsidP="00185000">
            <w:pPr>
              <w:jc w:val="both"/>
              <w:rPr>
                <w:rFonts w:ascii="Tahoma" w:hAnsi="Tahoma" w:cs="Tahoma"/>
                <w:sz w:val="24"/>
                <w:szCs w:val="24"/>
              </w:rPr>
            </w:pPr>
            <w:r w:rsidRPr="003A54AA">
              <w:rPr>
                <w:rFonts w:ascii="Tahoma" w:hAnsi="Tahoma" w:cs="Tahoma"/>
                <w:sz w:val="24"/>
                <w:szCs w:val="24"/>
              </w:rPr>
              <w:t>Devise qualitative site appraisal criteria to determine which sites meet the occupier or developer needs. Confirm the existing sites to be retained, replaced or released and any gaps in the portfolio. In this allocation, consideration should be given to previously used sites, and in the reallocation, the environmental impact of one site relative</w:t>
            </w:r>
            <w:r w:rsidR="009B2E98" w:rsidRPr="003A54AA">
              <w:rPr>
                <w:rFonts w:ascii="Tahoma" w:hAnsi="Tahoma" w:cs="Tahoma"/>
                <w:sz w:val="24"/>
                <w:szCs w:val="24"/>
              </w:rPr>
              <w:t xml:space="preserve"> to others should be included. The results of Stage 2, together with this site appraisal should provide a robust justification for altering allocations for employment land.</w:t>
            </w:r>
          </w:p>
        </w:tc>
      </w:tr>
    </w:tbl>
    <w:p w:rsidR="00F00335" w:rsidRDefault="00F00335">
      <w:pPr>
        <w:rPr>
          <w:rFonts w:ascii="Arial" w:hAnsi="Arial" w:cs="Arial"/>
          <w:sz w:val="24"/>
          <w:szCs w:val="24"/>
        </w:rPr>
      </w:pPr>
    </w:p>
    <w:p w:rsidR="00F00335" w:rsidRPr="009B2E98" w:rsidRDefault="00E53773">
      <w:pPr>
        <w:rPr>
          <w:rFonts w:ascii="Arial" w:hAnsi="Arial" w:cs="Arial"/>
          <w:sz w:val="18"/>
          <w:szCs w:val="18"/>
        </w:rPr>
      </w:pPr>
      <w:r w:rsidRPr="009B2E98">
        <w:rPr>
          <w:rFonts w:ascii="Arial" w:hAnsi="Arial" w:cs="Arial"/>
          <w:sz w:val="18"/>
          <w:szCs w:val="18"/>
        </w:rPr>
        <w:t>Source: Regional Development Strategy 2035, Table 3.1</w:t>
      </w:r>
      <w:r w:rsidR="009B2E98">
        <w:rPr>
          <w:rFonts w:ascii="Arial" w:hAnsi="Arial" w:cs="Arial"/>
          <w:sz w:val="18"/>
          <w:szCs w:val="18"/>
        </w:rPr>
        <w:t xml:space="preserve"> The Employment Land Evaluation Framework.</w:t>
      </w: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F00335" w:rsidRDefault="00F00335">
      <w:pPr>
        <w:rPr>
          <w:rFonts w:ascii="Arial" w:hAnsi="Arial" w:cs="Arial"/>
          <w:sz w:val="24"/>
          <w:szCs w:val="24"/>
        </w:rPr>
      </w:pPr>
    </w:p>
    <w:p w:rsidR="00DD3178" w:rsidRPr="003A54AA" w:rsidRDefault="00DD3178">
      <w:pPr>
        <w:rPr>
          <w:rFonts w:ascii="Tahoma" w:hAnsi="Tahoma" w:cs="Tahoma"/>
          <w:b/>
          <w:bCs/>
          <w:sz w:val="24"/>
          <w:szCs w:val="24"/>
        </w:rPr>
      </w:pPr>
      <w:r w:rsidRPr="003A54AA">
        <w:rPr>
          <w:rFonts w:ascii="Tahoma" w:hAnsi="Tahoma" w:cs="Tahoma"/>
          <w:b/>
          <w:bCs/>
          <w:sz w:val="24"/>
          <w:szCs w:val="24"/>
        </w:rPr>
        <w:lastRenderedPageBreak/>
        <w:t xml:space="preserve">Appendix B </w:t>
      </w:r>
      <w:r w:rsidR="0034055B">
        <w:rPr>
          <w:rFonts w:ascii="Tahoma" w:hAnsi="Tahoma" w:cs="Tahoma"/>
          <w:b/>
          <w:bCs/>
          <w:sz w:val="24"/>
          <w:szCs w:val="24"/>
        </w:rPr>
        <w:t xml:space="preserve">Newry &amp; </w:t>
      </w:r>
      <w:proofErr w:type="spellStart"/>
      <w:r w:rsidR="0034055B">
        <w:rPr>
          <w:rFonts w:ascii="Tahoma" w:hAnsi="Tahoma" w:cs="Tahoma"/>
          <w:b/>
          <w:bCs/>
          <w:sz w:val="24"/>
          <w:szCs w:val="24"/>
        </w:rPr>
        <w:t>Mourne</w:t>
      </w:r>
      <w:proofErr w:type="spellEnd"/>
      <w:r w:rsidR="0034055B">
        <w:rPr>
          <w:rFonts w:ascii="Tahoma" w:hAnsi="Tahoma" w:cs="Tahoma"/>
          <w:b/>
          <w:bCs/>
          <w:sz w:val="24"/>
          <w:szCs w:val="24"/>
        </w:rPr>
        <w:t xml:space="preserve"> District </w:t>
      </w:r>
      <w:r w:rsidRPr="003A54AA">
        <w:rPr>
          <w:rFonts w:ascii="Tahoma" w:hAnsi="Tahoma" w:cs="Tahoma"/>
          <w:b/>
          <w:bCs/>
          <w:sz w:val="24"/>
          <w:szCs w:val="24"/>
        </w:rPr>
        <w:t>Zoned Industrial Land</w:t>
      </w:r>
    </w:p>
    <w:p w:rsidR="00EE41A0" w:rsidRDefault="00EE41A0" w:rsidP="00545BA0">
      <w:pPr>
        <w:autoSpaceDE w:val="0"/>
        <w:autoSpaceDN w:val="0"/>
        <w:adjustRightInd w:val="0"/>
        <w:spacing w:after="0" w:line="240" w:lineRule="auto"/>
        <w:rPr>
          <w:rFonts w:ascii="Arial" w:hAnsi="Arial" w:cs="Arial"/>
          <w:b/>
          <w:bCs/>
          <w:sz w:val="24"/>
          <w:szCs w:val="24"/>
        </w:rPr>
      </w:pPr>
    </w:p>
    <w:tbl>
      <w:tblPr>
        <w:tblW w:w="9660" w:type="dxa"/>
        <w:tblInd w:w="93" w:type="dxa"/>
        <w:tblLook w:val="04A0" w:firstRow="1" w:lastRow="0" w:firstColumn="1" w:lastColumn="0" w:noHBand="0" w:noVBand="1"/>
      </w:tblPr>
      <w:tblGrid>
        <w:gridCol w:w="2116"/>
        <w:gridCol w:w="2546"/>
        <w:gridCol w:w="1034"/>
        <w:gridCol w:w="1237"/>
        <w:gridCol w:w="1610"/>
        <w:gridCol w:w="1415"/>
      </w:tblGrid>
      <w:tr w:rsidR="00D04112" w:rsidRPr="00D04112" w:rsidTr="00D04112">
        <w:trPr>
          <w:trHeight w:val="885"/>
        </w:trPr>
        <w:tc>
          <w:tcPr>
            <w:tcW w:w="193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Settlement</w:t>
            </w:r>
          </w:p>
        </w:tc>
        <w:tc>
          <w:tcPr>
            <w:tcW w:w="2537" w:type="dxa"/>
            <w:tcBorders>
              <w:top w:val="single" w:sz="4" w:space="0" w:color="auto"/>
              <w:left w:val="nil"/>
              <w:bottom w:val="single" w:sz="4" w:space="0" w:color="auto"/>
              <w:right w:val="single" w:sz="4" w:space="0" w:color="auto"/>
            </w:tcBorders>
            <w:shd w:val="clear" w:color="000000" w:fill="BFBFBF"/>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Location (Zoning Ref)</w:t>
            </w:r>
          </w:p>
        </w:tc>
        <w:tc>
          <w:tcPr>
            <w:tcW w:w="1034" w:type="dxa"/>
            <w:tcBorders>
              <w:top w:val="single" w:sz="4" w:space="0" w:color="auto"/>
              <w:left w:val="nil"/>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Area zoned for industry (Ha)</w:t>
            </w:r>
          </w:p>
        </w:tc>
        <w:tc>
          <w:tcPr>
            <w:tcW w:w="1237" w:type="dxa"/>
            <w:tcBorders>
              <w:top w:val="single" w:sz="4" w:space="0" w:color="auto"/>
              <w:left w:val="nil"/>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Area developed for industry (Ha)</w:t>
            </w:r>
          </w:p>
        </w:tc>
        <w:tc>
          <w:tcPr>
            <w:tcW w:w="1573" w:type="dxa"/>
            <w:tcBorders>
              <w:top w:val="single" w:sz="4" w:space="0" w:color="auto"/>
              <w:left w:val="nil"/>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Area lost/developed for non-industry (Ha)</w:t>
            </w:r>
          </w:p>
        </w:tc>
        <w:tc>
          <w:tcPr>
            <w:tcW w:w="1349" w:type="dxa"/>
            <w:tcBorders>
              <w:top w:val="single" w:sz="4" w:space="0" w:color="auto"/>
              <w:left w:val="nil"/>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Area remaining undeveloped</w:t>
            </w:r>
            <w:r w:rsidR="00041E6A">
              <w:rPr>
                <w:rFonts w:ascii="Calibri" w:eastAsia="Times New Roman" w:hAnsi="Calibri" w:cs="Times New Roman"/>
                <w:b/>
                <w:bCs/>
                <w:color w:val="000000"/>
                <w:lang w:eastAsia="en-GB"/>
              </w:rPr>
              <w:t xml:space="preserve"> [vacant] </w:t>
            </w:r>
            <w:r w:rsidRPr="00D04112">
              <w:rPr>
                <w:rFonts w:ascii="Calibri" w:eastAsia="Times New Roman" w:hAnsi="Calibri" w:cs="Times New Roman"/>
                <w:b/>
                <w:bCs/>
                <w:color w:val="000000"/>
                <w:lang w:eastAsia="en-GB"/>
              </w:rPr>
              <w:t xml:space="preserve"> (Ha)</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Newry City</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Carnbane</w:t>
            </w:r>
            <w:proofErr w:type="spellEnd"/>
            <w:r w:rsidRPr="00D04112">
              <w:rPr>
                <w:rFonts w:ascii="Calibri" w:eastAsia="Times New Roman" w:hAnsi="Calibri" w:cs="Times New Roman"/>
                <w:color w:val="000000"/>
                <w:lang w:eastAsia="en-GB"/>
              </w:rPr>
              <w:t xml:space="preserve"> North (NY62)</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2.28</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023907">
              <w:rPr>
                <w:rFonts w:ascii="Calibri" w:eastAsia="Times New Roman" w:hAnsi="Calibri" w:cs="Times New Roman"/>
                <w:color w:val="000000"/>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023907">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023907">
              <w:rPr>
                <w:rFonts w:ascii="Calibri" w:eastAsia="Times New Roman" w:hAnsi="Calibri" w:cs="Times New Roman"/>
                <w:color w:val="000000"/>
                <w:lang w:eastAsia="en-GB"/>
              </w:rPr>
              <w:t>2.</w:t>
            </w:r>
            <w:r w:rsidR="00453FE5">
              <w:rPr>
                <w:rFonts w:ascii="Calibri" w:eastAsia="Times New Roman" w:hAnsi="Calibri" w:cs="Times New Roman"/>
                <w:color w:val="000000"/>
                <w:lang w:eastAsia="en-GB"/>
              </w:rPr>
              <w:t>2</w:t>
            </w:r>
            <w:r w:rsidR="00023907">
              <w:rPr>
                <w:rFonts w:ascii="Calibri" w:eastAsia="Times New Roman" w:hAnsi="Calibri" w:cs="Times New Roman"/>
                <w:color w:val="000000"/>
                <w:lang w:eastAsia="en-GB"/>
              </w:rPr>
              <w:t>8</w:t>
            </w:r>
            <w:r w:rsidR="00041E6A">
              <w:rPr>
                <w:rFonts w:ascii="Calibri" w:eastAsia="Times New Roman" w:hAnsi="Calibri" w:cs="Times New Roman"/>
                <w:color w:val="000000"/>
                <w:lang w:eastAsia="en-GB"/>
              </w:rPr>
              <w:t xml:space="preserve"> </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Carnbane</w:t>
            </w:r>
            <w:proofErr w:type="spellEnd"/>
            <w:r w:rsidRPr="00D04112">
              <w:rPr>
                <w:rFonts w:ascii="Calibri" w:eastAsia="Times New Roman" w:hAnsi="Calibri" w:cs="Times New Roman"/>
                <w:color w:val="000000"/>
                <w:lang w:eastAsia="en-GB"/>
              </w:rPr>
              <w:t>/</w:t>
            </w:r>
            <w:proofErr w:type="spellStart"/>
            <w:r w:rsidRPr="00D04112">
              <w:rPr>
                <w:rFonts w:ascii="Calibri" w:eastAsia="Times New Roman" w:hAnsi="Calibri" w:cs="Times New Roman"/>
                <w:color w:val="000000"/>
                <w:lang w:eastAsia="en-GB"/>
              </w:rPr>
              <w:t>Cloughanramer</w:t>
            </w:r>
            <w:proofErr w:type="spellEnd"/>
            <w:r w:rsidRPr="00D04112">
              <w:rPr>
                <w:rFonts w:ascii="Calibri" w:eastAsia="Times New Roman" w:hAnsi="Calibri" w:cs="Times New Roman"/>
                <w:color w:val="000000"/>
                <w:lang w:eastAsia="en-GB"/>
              </w:rPr>
              <w:t xml:space="preserve"> Road (NY63)</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52.38</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1047FC">
              <w:rPr>
                <w:rFonts w:ascii="Calibri" w:eastAsia="Times New Roman" w:hAnsi="Calibri" w:cs="Times New Roman"/>
                <w:color w:val="000000"/>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0.74</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51.64</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Carnbane</w:t>
            </w:r>
            <w:proofErr w:type="spellEnd"/>
            <w:r w:rsidRPr="00D04112">
              <w:rPr>
                <w:rFonts w:ascii="Calibri" w:eastAsia="Times New Roman" w:hAnsi="Calibri" w:cs="Times New Roman"/>
                <w:color w:val="000000"/>
                <w:lang w:eastAsia="en-GB"/>
              </w:rPr>
              <w:t xml:space="preserve"> Road/</w:t>
            </w:r>
            <w:proofErr w:type="spellStart"/>
            <w:r w:rsidRPr="00D04112">
              <w:rPr>
                <w:rFonts w:ascii="Calibri" w:eastAsia="Times New Roman" w:hAnsi="Calibri" w:cs="Times New Roman"/>
                <w:color w:val="000000"/>
                <w:lang w:eastAsia="en-GB"/>
              </w:rPr>
              <w:t>Tandragee</w:t>
            </w:r>
            <w:proofErr w:type="spellEnd"/>
            <w:r w:rsidRPr="00D04112">
              <w:rPr>
                <w:rFonts w:ascii="Calibri" w:eastAsia="Times New Roman" w:hAnsi="Calibri" w:cs="Times New Roman"/>
                <w:color w:val="000000"/>
                <w:lang w:eastAsia="en-GB"/>
              </w:rPr>
              <w:t xml:space="preserve"> Road (NY64)</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2.89</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252B05">
              <w:rPr>
                <w:rFonts w:ascii="Calibri" w:eastAsia="Times New Roman" w:hAnsi="Calibri" w:cs="Times New Roman"/>
                <w:color w:val="000000"/>
                <w:lang w:eastAsia="en-GB"/>
              </w:rPr>
              <w:t xml:space="preserve"> </w:t>
            </w:r>
            <w:r w:rsidR="001047FC">
              <w:rPr>
                <w:rFonts w:ascii="Calibri" w:eastAsia="Times New Roman" w:hAnsi="Calibri" w:cs="Times New Roman"/>
                <w:color w:val="000000"/>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1047FC">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1047FC">
              <w:rPr>
                <w:rFonts w:ascii="Calibri" w:eastAsia="Times New Roman" w:hAnsi="Calibri" w:cs="Times New Roman"/>
                <w:color w:val="000000"/>
                <w:lang w:eastAsia="en-GB"/>
              </w:rPr>
              <w:t>2.89</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Carnbane</w:t>
            </w:r>
            <w:proofErr w:type="spellEnd"/>
            <w:r w:rsidRPr="00D04112">
              <w:rPr>
                <w:rFonts w:ascii="Calibri" w:eastAsia="Times New Roman" w:hAnsi="Calibri" w:cs="Times New Roman"/>
                <w:color w:val="000000"/>
                <w:lang w:eastAsia="en-GB"/>
              </w:rPr>
              <w:t xml:space="preserve"> Business Park (NY65)</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21.65</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041E6A">
              <w:rPr>
                <w:rFonts w:ascii="Calibri" w:eastAsia="Times New Roman" w:hAnsi="Calibri" w:cs="Times New Roman"/>
                <w:color w:val="000000"/>
                <w:lang w:eastAsia="en-GB"/>
              </w:rPr>
              <w:t>10.87</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4E3A88">
              <w:rPr>
                <w:rFonts w:ascii="Calibri" w:eastAsia="Times New Roman" w:hAnsi="Calibri" w:cs="Times New Roman"/>
                <w:color w:val="000000"/>
                <w:lang w:eastAsia="en-GB"/>
              </w:rPr>
              <w:t>5.85</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741B09">
              <w:rPr>
                <w:rFonts w:ascii="Calibri" w:eastAsia="Times New Roman" w:hAnsi="Calibri" w:cs="Times New Roman"/>
                <w:color w:val="000000"/>
                <w:lang w:eastAsia="en-GB"/>
              </w:rPr>
              <w:t>3.35</w:t>
            </w:r>
            <w:r w:rsidR="00041E6A">
              <w:rPr>
                <w:rFonts w:ascii="Calibri" w:eastAsia="Times New Roman" w:hAnsi="Calibri" w:cs="Times New Roman"/>
                <w:color w:val="000000"/>
                <w:lang w:eastAsia="en-GB"/>
              </w:rPr>
              <w:t xml:space="preserve"> [1.58]</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Carnbane</w:t>
            </w:r>
            <w:proofErr w:type="spellEnd"/>
            <w:r w:rsidRPr="00D04112">
              <w:rPr>
                <w:rFonts w:ascii="Calibri" w:eastAsia="Times New Roman" w:hAnsi="Calibri" w:cs="Times New Roman"/>
                <w:color w:val="000000"/>
                <w:lang w:eastAsia="en-GB"/>
              </w:rPr>
              <w:t xml:space="preserve"> South (NY66)</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3.95</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3.03</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5F30D3">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0.92</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Craigmore</w:t>
            </w:r>
            <w:proofErr w:type="spellEnd"/>
            <w:r w:rsidRPr="00D04112">
              <w:rPr>
                <w:rFonts w:ascii="Calibri" w:eastAsia="Times New Roman" w:hAnsi="Calibri" w:cs="Times New Roman"/>
                <w:color w:val="000000"/>
                <w:lang w:eastAsia="en-GB"/>
              </w:rPr>
              <w:t xml:space="preserve"> Road (NY67)</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11.3</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2.19</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741B09">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9.1</w:t>
            </w:r>
            <w:r w:rsidR="00453FE5">
              <w:rPr>
                <w:rFonts w:ascii="Calibri" w:eastAsia="Times New Roman" w:hAnsi="Calibri" w:cs="Times New Roman"/>
                <w:color w:val="000000"/>
                <w:lang w:eastAsia="en-GB"/>
              </w:rPr>
              <w:t>1</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Damolly</w:t>
            </w:r>
            <w:proofErr w:type="spellEnd"/>
            <w:r w:rsidRPr="00D04112">
              <w:rPr>
                <w:rFonts w:ascii="Calibri" w:eastAsia="Times New Roman" w:hAnsi="Calibri" w:cs="Times New Roman"/>
                <w:color w:val="000000"/>
                <w:lang w:eastAsia="en-GB"/>
              </w:rPr>
              <w:t xml:space="preserve">  (NY68)</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2.86</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741B09">
              <w:rPr>
                <w:rFonts w:ascii="Calibri" w:eastAsia="Times New Roman" w:hAnsi="Calibri" w:cs="Times New Roman"/>
                <w:color w:val="000000"/>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741B09">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741B09">
              <w:rPr>
                <w:rFonts w:ascii="Calibri" w:eastAsia="Times New Roman" w:hAnsi="Calibri" w:cs="Times New Roman"/>
                <w:color w:val="000000"/>
                <w:lang w:eastAsia="en-GB"/>
              </w:rPr>
              <w:t>2.86</w:t>
            </w:r>
          </w:p>
        </w:tc>
      </w:tr>
      <w:tr w:rsidR="00D04112" w:rsidRPr="00D04112" w:rsidTr="00783D14">
        <w:trPr>
          <w:trHeight w:val="535"/>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Chancellors Road (NY69)</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19.46</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FE48E1">
              <w:rPr>
                <w:rFonts w:ascii="Calibri" w:eastAsia="Times New Roman" w:hAnsi="Calibri" w:cs="Times New Roman"/>
                <w:color w:val="000000"/>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FE48E1">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FE48E1">
              <w:rPr>
                <w:rFonts w:ascii="Calibri" w:eastAsia="Times New Roman" w:hAnsi="Calibri" w:cs="Times New Roman"/>
                <w:color w:val="000000"/>
                <w:lang w:eastAsia="en-GB"/>
              </w:rPr>
              <w:t>19.46</w:t>
            </w:r>
          </w:p>
        </w:tc>
      </w:tr>
      <w:tr w:rsidR="00D04112" w:rsidRPr="00D04112" w:rsidTr="00D04112">
        <w:trPr>
          <w:trHeight w:val="300"/>
        </w:trPr>
        <w:tc>
          <w:tcPr>
            <w:tcW w:w="1930" w:type="dxa"/>
            <w:tcBorders>
              <w:top w:val="nil"/>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proofErr w:type="spellStart"/>
            <w:r w:rsidRPr="00D04112">
              <w:rPr>
                <w:rFonts w:ascii="Calibri" w:eastAsia="Times New Roman" w:hAnsi="Calibri" w:cs="Times New Roman"/>
                <w:color w:val="000000"/>
                <w:lang w:eastAsia="en-GB"/>
              </w:rPr>
              <w:t>Loughway</w:t>
            </w:r>
            <w:proofErr w:type="spellEnd"/>
            <w:r w:rsidRPr="00D04112">
              <w:rPr>
                <w:rFonts w:ascii="Calibri" w:eastAsia="Times New Roman" w:hAnsi="Calibri" w:cs="Times New Roman"/>
                <w:color w:val="000000"/>
                <w:lang w:eastAsia="en-GB"/>
              </w:rPr>
              <w:t xml:space="preserve"> (NY70)</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7.28</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1.84</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4E3A88">
              <w:rPr>
                <w:rFonts w:ascii="Calibri" w:eastAsia="Times New Roman" w:hAnsi="Calibri" w:cs="Times New Roman"/>
                <w:color w:val="000000"/>
                <w:lang w:eastAsia="en-GB"/>
              </w:rPr>
              <w:t>0.8</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B0476">
              <w:rPr>
                <w:rFonts w:ascii="Calibri" w:eastAsia="Times New Roman" w:hAnsi="Calibri" w:cs="Times New Roman"/>
                <w:color w:val="000000"/>
                <w:lang w:eastAsia="en-GB"/>
              </w:rPr>
              <w:t>4.19</w:t>
            </w:r>
            <w:r w:rsidR="00041E6A">
              <w:rPr>
                <w:rFonts w:ascii="Calibri" w:eastAsia="Times New Roman" w:hAnsi="Calibri" w:cs="Times New Roman"/>
                <w:color w:val="000000"/>
                <w:lang w:eastAsia="en-GB"/>
              </w:rPr>
              <w:t xml:space="preserve"> [0.45]</w:t>
            </w:r>
          </w:p>
        </w:tc>
      </w:tr>
      <w:tr w:rsidR="00D04112" w:rsidRPr="00D04112" w:rsidTr="00D04112">
        <w:trPr>
          <w:trHeight w:val="300"/>
        </w:trPr>
        <w:tc>
          <w:tcPr>
            <w:tcW w:w="1930" w:type="dxa"/>
            <w:tcBorders>
              <w:top w:val="nil"/>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proofErr w:type="spellStart"/>
            <w:r w:rsidRPr="00D04112">
              <w:rPr>
                <w:rFonts w:ascii="Calibri" w:eastAsia="Times New Roman" w:hAnsi="Calibri" w:cs="Times New Roman"/>
                <w:b/>
                <w:bCs/>
                <w:color w:val="000000"/>
                <w:lang w:eastAsia="en-GB"/>
              </w:rPr>
              <w:t>Crossmaglen</w:t>
            </w:r>
            <w:proofErr w:type="spellEnd"/>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Newry Road (CM10)</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3D22B0" w:rsidRDefault="00D04112" w:rsidP="00D04112">
            <w:pPr>
              <w:spacing w:after="0" w:line="240" w:lineRule="auto"/>
              <w:jc w:val="right"/>
              <w:rPr>
                <w:rFonts w:ascii="Calibri" w:eastAsia="Times New Roman" w:hAnsi="Calibri" w:cs="Times New Roman"/>
                <w:lang w:eastAsia="en-GB"/>
              </w:rPr>
            </w:pPr>
            <w:r w:rsidRPr="003D22B0">
              <w:rPr>
                <w:rFonts w:ascii="Calibri" w:eastAsia="Times New Roman" w:hAnsi="Calibri" w:cs="Times New Roman"/>
                <w:lang w:eastAsia="en-GB"/>
              </w:rPr>
              <w:t>1.65</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D22B0" w:rsidRDefault="00D04112" w:rsidP="00D04112">
            <w:pPr>
              <w:spacing w:after="0" w:line="240" w:lineRule="auto"/>
              <w:rPr>
                <w:rFonts w:ascii="Calibri" w:eastAsia="Times New Roman" w:hAnsi="Calibri" w:cs="Times New Roman"/>
                <w:lang w:eastAsia="en-GB"/>
              </w:rPr>
            </w:pPr>
            <w:r w:rsidRPr="003D22B0">
              <w:rPr>
                <w:rFonts w:ascii="Calibri" w:eastAsia="Times New Roman" w:hAnsi="Calibri" w:cs="Times New Roman"/>
                <w:lang w:eastAsia="en-GB"/>
              </w:rPr>
              <w:t> </w:t>
            </w:r>
            <w:r w:rsidR="003D22B0" w:rsidRPr="003D22B0">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D22B0" w:rsidRDefault="00D04112" w:rsidP="00D04112">
            <w:pPr>
              <w:spacing w:after="0" w:line="240" w:lineRule="auto"/>
              <w:rPr>
                <w:rFonts w:ascii="Calibri" w:eastAsia="Times New Roman" w:hAnsi="Calibri" w:cs="Times New Roman"/>
                <w:lang w:eastAsia="en-GB"/>
              </w:rPr>
            </w:pPr>
            <w:r w:rsidRPr="003D22B0">
              <w:rPr>
                <w:rFonts w:ascii="Calibri" w:eastAsia="Times New Roman" w:hAnsi="Calibri" w:cs="Times New Roman"/>
                <w:lang w:eastAsia="en-GB"/>
              </w:rPr>
              <w:t> </w:t>
            </w:r>
            <w:r w:rsidR="003D22B0" w:rsidRPr="003D22B0">
              <w:rPr>
                <w:rFonts w:ascii="Calibri" w:eastAsia="Times New Roman" w:hAnsi="Calibri" w:cs="Times New Roman"/>
                <w:lang w:eastAsia="en-GB"/>
              </w:rPr>
              <w:t>1.15</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D22B0" w:rsidRDefault="00D04112" w:rsidP="00D04112">
            <w:pPr>
              <w:spacing w:after="0" w:line="240" w:lineRule="auto"/>
              <w:rPr>
                <w:rFonts w:ascii="Calibri" w:eastAsia="Times New Roman" w:hAnsi="Calibri" w:cs="Times New Roman"/>
                <w:lang w:eastAsia="en-GB"/>
              </w:rPr>
            </w:pPr>
            <w:r w:rsidRPr="003D22B0">
              <w:rPr>
                <w:rFonts w:ascii="Calibri" w:eastAsia="Times New Roman" w:hAnsi="Calibri" w:cs="Times New Roman"/>
                <w:lang w:eastAsia="en-GB"/>
              </w:rPr>
              <w:t> </w:t>
            </w:r>
            <w:r w:rsidR="00FE48E1" w:rsidRPr="003D22B0">
              <w:rPr>
                <w:rFonts w:ascii="Calibri" w:eastAsia="Times New Roman" w:hAnsi="Calibri" w:cs="Times New Roman"/>
                <w:lang w:eastAsia="en-GB"/>
              </w:rPr>
              <w:t>0.5</w:t>
            </w:r>
            <w:r w:rsidR="00453FE5">
              <w:rPr>
                <w:rFonts w:ascii="Calibri" w:eastAsia="Times New Roman" w:hAnsi="Calibri" w:cs="Times New Roman"/>
                <w:lang w:eastAsia="en-GB"/>
              </w:rPr>
              <w:t>0</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proofErr w:type="spellStart"/>
            <w:r w:rsidRPr="00D04112">
              <w:rPr>
                <w:rFonts w:ascii="Calibri" w:eastAsia="Times New Roman" w:hAnsi="Calibri" w:cs="Times New Roman"/>
                <w:b/>
                <w:bCs/>
                <w:color w:val="000000"/>
                <w:lang w:eastAsia="en-GB"/>
              </w:rPr>
              <w:t>Kilkeel</w:t>
            </w:r>
            <w:proofErr w:type="spellEnd"/>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Moor Road - The Harbour (KL19)</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18.38</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447DD" w:rsidRDefault="00D04112" w:rsidP="00D04112">
            <w:pPr>
              <w:spacing w:after="0" w:line="240" w:lineRule="auto"/>
              <w:rPr>
                <w:rFonts w:ascii="Calibri" w:eastAsia="Times New Roman" w:hAnsi="Calibri" w:cs="Times New Roman"/>
                <w:color w:val="FF0000"/>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1.3</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447DD" w:rsidRDefault="00D04112" w:rsidP="00D04112">
            <w:pPr>
              <w:spacing w:after="0" w:line="240" w:lineRule="auto"/>
              <w:rPr>
                <w:rFonts w:ascii="Calibri" w:eastAsia="Times New Roman" w:hAnsi="Calibri" w:cs="Times New Roman"/>
                <w:color w:val="FF0000"/>
                <w:lang w:eastAsia="en-GB"/>
              </w:rPr>
            </w:pPr>
            <w:r w:rsidRPr="003447DD">
              <w:rPr>
                <w:rFonts w:ascii="Calibri" w:eastAsia="Times New Roman" w:hAnsi="Calibri" w:cs="Times New Roman"/>
                <w:color w:val="FF0000"/>
                <w:lang w:eastAsia="en-GB"/>
              </w:rPr>
              <w:t> </w:t>
            </w:r>
            <w:r w:rsidR="003B0476" w:rsidRPr="003B0476">
              <w:rPr>
                <w:rFonts w:ascii="Calibri" w:eastAsia="Times New Roman" w:hAnsi="Calibri" w:cs="Times New Roman"/>
                <w:lang w:eastAsia="en-GB"/>
              </w:rPr>
              <w:t>3.16</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447DD" w:rsidRDefault="00D04112" w:rsidP="00D04112">
            <w:pPr>
              <w:spacing w:after="0" w:line="240" w:lineRule="auto"/>
              <w:rPr>
                <w:rFonts w:ascii="Calibri" w:eastAsia="Times New Roman" w:hAnsi="Calibri" w:cs="Times New Roman"/>
                <w:color w:val="FF0000"/>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13.92</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Newcastle Road (KL20)</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2.07</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447DD" w:rsidRPr="003B0476">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0.07</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2</w:t>
            </w:r>
            <w:r w:rsidR="00453FE5">
              <w:rPr>
                <w:rFonts w:ascii="Calibri" w:eastAsia="Times New Roman" w:hAnsi="Calibri" w:cs="Times New Roman"/>
                <w:lang w:eastAsia="en-GB"/>
              </w:rPr>
              <w:t>.00</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Moor Road/Newcastle Road West (KL21)</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0.58</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0.11</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0.05</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0.42</w:t>
            </w:r>
          </w:p>
        </w:tc>
      </w:tr>
      <w:tr w:rsidR="00D04112" w:rsidRPr="00D04112" w:rsidTr="00D04112">
        <w:trPr>
          <w:trHeight w:val="600"/>
        </w:trPr>
        <w:tc>
          <w:tcPr>
            <w:tcW w:w="1930" w:type="dxa"/>
            <w:tcBorders>
              <w:top w:val="nil"/>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Moor Road/Newcastle Road East (KL22)</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3.54</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447DD" w:rsidRPr="003B0476">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0.03</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3.51</w:t>
            </w:r>
          </w:p>
        </w:tc>
      </w:tr>
      <w:tr w:rsidR="00D04112" w:rsidRPr="00D04112" w:rsidTr="00D04112">
        <w:trPr>
          <w:trHeight w:val="6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proofErr w:type="spellStart"/>
            <w:r w:rsidRPr="00D04112">
              <w:rPr>
                <w:rFonts w:ascii="Calibri" w:eastAsia="Times New Roman" w:hAnsi="Calibri" w:cs="Times New Roman"/>
                <w:b/>
                <w:bCs/>
                <w:color w:val="000000"/>
                <w:lang w:eastAsia="en-GB"/>
              </w:rPr>
              <w:t>Newtownhamilton</w:t>
            </w:r>
            <w:proofErr w:type="spellEnd"/>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Newry Road (NN06)</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C943FD" w:rsidRDefault="00D04112" w:rsidP="00D04112">
            <w:pPr>
              <w:spacing w:after="0" w:line="240" w:lineRule="auto"/>
              <w:jc w:val="right"/>
              <w:rPr>
                <w:rFonts w:ascii="Calibri" w:eastAsia="Times New Roman" w:hAnsi="Calibri" w:cs="Times New Roman"/>
                <w:lang w:eastAsia="en-GB"/>
              </w:rPr>
            </w:pPr>
            <w:r w:rsidRPr="00C943FD">
              <w:rPr>
                <w:rFonts w:ascii="Calibri" w:eastAsia="Times New Roman" w:hAnsi="Calibri" w:cs="Times New Roman"/>
                <w:lang w:eastAsia="en-GB"/>
              </w:rPr>
              <w:t>0.46</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C943FD" w:rsidRDefault="00D04112" w:rsidP="00D04112">
            <w:pPr>
              <w:spacing w:after="0" w:line="240" w:lineRule="auto"/>
              <w:rPr>
                <w:rFonts w:ascii="Calibri" w:eastAsia="Times New Roman" w:hAnsi="Calibri" w:cs="Times New Roman"/>
                <w:lang w:eastAsia="en-GB"/>
              </w:rPr>
            </w:pPr>
            <w:r w:rsidRPr="00C943FD">
              <w:rPr>
                <w:rFonts w:ascii="Calibri" w:eastAsia="Times New Roman" w:hAnsi="Calibri" w:cs="Times New Roman"/>
                <w:lang w:eastAsia="en-GB"/>
              </w:rPr>
              <w:t> </w:t>
            </w:r>
            <w:r w:rsidR="001B262F" w:rsidRPr="00C943FD">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C943FD" w:rsidRDefault="00D04112" w:rsidP="00D04112">
            <w:pPr>
              <w:spacing w:after="0" w:line="240" w:lineRule="auto"/>
              <w:rPr>
                <w:rFonts w:ascii="Calibri" w:eastAsia="Times New Roman" w:hAnsi="Calibri" w:cs="Times New Roman"/>
                <w:lang w:eastAsia="en-GB"/>
              </w:rPr>
            </w:pPr>
            <w:r w:rsidRPr="00C943FD">
              <w:rPr>
                <w:rFonts w:ascii="Calibri" w:eastAsia="Times New Roman" w:hAnsi="Calibri" w:cs="Times New Roman"/>
                <w:lang w:eastAsia="en-GB"/>
              </w:rPr>
              <w:t> </w:t>
            </w:r>
            <w:r w:rsidR="001B262F" w:rsidRPr="00C943FD">
              <w:rPr>
                <w:rFonts w:ascii="Calibri" w:eastAsia="Times New Roman" w:hAnsi="Calibri" w:cs="Times New Roman"/>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C943FD" w:rsidRDefault="00D04112" w:rsidP="00D04112">
            <w:pPr>
              <w:spacing w:after="0" w:line="240" w:lineRule="auto"/>
              <w:rPr>
                <w:rFonts w:ascii="Calibri" w:eastAsia="Times New Roman" w:hAnsi="Calibri" w:cs="Times New Roman"/>
                <w:lang w:eastAsia="en-GB"/>
              </w:rPr>
            </w:pPr>
            <w:r w:rsidRPr="00C943FD">
              <w:rPr>
                <w:rFonts w:ascii="Calibri" w:eastAsia="Times New Roman" w:hAnsi="Calibri" w:cs="Times New Roman"/>
                <w:lang w:eastAsia="en-GB"/>
              </w:rPr>
              <w:t> </w:t>
            </w:r>
            <w:r w:rsidR="001B262F" w:rsidRPr="00C943FD">
              <w:rPr>
                <w:rFonts w:ascii="Calibri" w:eastAsia="Times New Roman" w:hAnsi="Calibri" w:cs="Times New Roman"/>
                <w:lang w:eastAsia="en-GB"/>
              </w:rPr>
              <w:t>0.46</w:t>
            </w:r>
          </w:p>
        </w:tc>
      </w:tr>
      <w:tr w:rsidR="00D04112" w:rsidRPr="00D04112" w:rsidTr="00D04112">
        <w:trPr>
          <w:trHeight w:val="600"/>
        </w:trPr>
        <w:tc>
          <w:tcPr>
            <w:tcW w:w="1930" w:type="dxa"/>
            <w:tcBorders>
              <w:top w:val="single" w:sz="4" w:space="0" w:color="auto"/>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proofErr w:type="spellStart"/>
            <w:r w:rsidRPr="00D04112">
              <w:rPr>
                <w:rFonts w:ascii="Calibri" w:eastAsia="Times New Roman" w:hAnsi="Calibri" w:cs="Times New Roman"/>
                <w:b/>
                <w:bCs/>
                <w:color w:val="000000"/>
                <w:lang w:eastAsia="en-GB"/>
              </w:rPr>
              <w:t>Warrenpoint</w:t>
            </w:r>
            <w:proofErr w:type="spellEnd"/>
            <w:r w:rsidRPr="00D04112">
              <w:rPr>
                <w:rFonts w:ascii="Calibri" w:eastAsia="Times New Roman" w:hAnsi="Calibri" w:cs="Times New Roman"/>
                <w:b/>
                <w:bCs/>
                <w:color w:val="000000"/>
                <w:lang w:eastAsia="en-GB"/>
              </w:rPr>
              <w:t>/</w:t>
            </w:r>
            <w:proofErr w:type="spellStart"/>
            <w:r w:rsidRPr="00D04112">
              <w:rPr>
                <w:rFonts w:ascii="Calibri" w:eastAsia="Times New Roman" w:hAnsi="Calibri" w:cs="Times New Roman"/>
                <w:b/>
                <w:bCs/>
                <w:color w:val="000000"/>
                <w:lang w:eastAsia="en-GB"/>
              </w:rPr>
              <w:t>Burren</w:t>
            </w:r>
            <w:proofErr w:type="spellEnd"/>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xml:space="preserve">Upper </w:t>
            </w:r>
            <w:proofErr w:type="spellStart"/>
            <w:r w:rsidRPr="00D04112">
              <w:rPr>
                <w:rFonts w:ascii="Calibri" w:eastAsia="Times New Roman" w:hAnsi="Calibri" w:cs="Times New Roman"/>
                <w:color w:val="000000"/>
                <w:lang w:eastAsia="en-GB"/>
              </w:rPr>
              <w:t>Dromore</w:t>
            </w:r>
            <w:proofErr w:type="spellEnd"/>
            <w:r w:rsidRPr="00D04112">
              <w:rPr>
                <w:rFonts w:ascii="Calibri" w:eastAsia="Times New Roman" w:hAnsi="Calibri" w:cs="Times New Roman"/>
                <w:color w:val="000000"/>
                <w:lang w:eastAsia="en-GB"/>
              </w:rPr>
              <w:t xml:space="preserve"> Road/</w:t>
            </w:r>
            <w:proofErr w:type="spellStart"/>
            <w:r w:rsidRPr="00D04112">
              <w:rPr>
                <w:rFonts w:ascii="Calibri" w:eastAsia="Times New Roman" w:hAnsi="Calibri" w:cs="Times New Roman"/>
                <w:color w:val="000000"/>
                <w:lang w:eastAsia="en-GB"/>
              </w:rPr>
              <w:t>Burren</w:t>
            </w:r>
            <w:proofErr w:type="spellEnd"/>
            <w:r w:rsidRPr="00D04112">
              <w:rPr>
                <w:rFonts w:ascii="Calibri" w:eastAsia="Times New Roman" w:hAnsi="Calibri" w:cs="Times New Roman"/>
                <w:color w:val="000000"/>
                <w:lang w:eastAsia="en-GB"/>
              </w:rPr>
              <w:t xml:space="preserve"> Road (WB24)</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13.55</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DF061C" w:rsidRPr="003B0476">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0.61</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3B0476" w:rsidRPr="003B0476">
              <w:rPr>
                <w:rFonts w:ascii="Calibri" w:eastAsia="Times New Roman" w:hAnsi="Calibri" w:cs="Times New Roman"/>
                <w:lang w:eastAsia="en-GB"/>
              </w:rPr>
              <w:t>12.94</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Newry Road (WB25)</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1.53</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DF061C" w:rsidRPr="003B0476">
              <w:rPr>
                <w:rFonts w:ascii="Calibri" w:eastAsia="Times New Roman" w:hAnsi="Calibri" w:cs="Times New Roman"/>
                <w:lang w:eastAsia="en-GB"/>
              </w:rPr>
              <w:t>0.00</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DF061C" w:rsidRPr="003B0476">
              <w:rPr>
                <w:rFonts w:ascii="Calibri" w:eastAsia="Times New Roman" w:hAnsi="Calibri" w:cs="Times New Roman"/>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3B0476" w:rsidRDefault="00D04112" w:rsidP="00D04112">
            <w:pPr>
              <w:spacing w:after="0" w:line="240" w:lineRule="auto"/>
              <w:rPr>
                <w:rFonts w:ascii="Calibri" w:eastAsia="Times New Roman" w:hAnsi="Calibri" w:cs="Times New Roman"/>
                <w:lang w:eastAsia="en-GB"/>
              </w:rPr>
            </w:pPr>
            <w:r w:rsidRPr="003B0476">
              <w:rPr>
                <w:rFonts w:ascii="Calibri" w:eastAsia="Times New Roman" w:hAnsi="Calibri" w:cs="Times New Roman"/>
                <w:lang w:eastAsia="en-GB"/>
              </w:rPr>
              <w:t> </w:t>
            </w:r>
            <w:r w:rsidR="00DF061C" w:rsidRPr="003B0476">
              <w:rPr>
                <w:rFonts w:ascii="Calibri" w:eastAsia="Times New Roman" w:hAnsi="Calibri" w:cs="Times New Roman"/>
                <w:lang w:eastAsia="en-GB"/>
              </w:rPr>
              <w:t>1.53</w:t>
            </w:r>
          </w:p>
        </w:tc>
      </w:tr>
      <w:tr w:rsidR="00D04112" w:rsidRPr="00D04112" w:rsidTr="00D04112">
        <w:trPr>
          <w:trHeight w:val="300"/>
        </w:trPr>
        <w:tc>
          <w:tcPr>
            <w:tcW w:w="1930" w:type="dxa"/>
            <w:tcBorders>
              <w:top w:val="nil"/>
              <w:left w:val="single" w:sz="4" w:space="0" w:color="auto"/>
              <w:bottom w:val="nil"/>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Milltown West (WB26)</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1.86</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595805" w:rsidRDefault="00D04112" w:rsidP="00D04112">
            <w:pPr>
              <w:spacing w:after="0" w:line="240" w:lineRule="auto"/>
              <w:rPr>
                <w:rFonts w:ascii="Calibri" w:eastAsia="Times New Roman" w:hAnsi="Calibri" w:cs="Times New Roman"/>
                <w:lang w:eastAsia="en-GB"/>
              </w:rPr>
            </w:pPr>
            <w:r w:rsidRPr="00595805">
              <w:rPr>
                <w:rFonts w:ascii="Calibri" w:eastAsia="Times New Roman" w:hAnsi="Calibri" w:cs="Times New Roman"/>
                <w:lang w:eastAsia="en-GB"/>
              </w:rPr>
              <w:t> </w:t>
            </w:r>
            <w:r w:rsidR="003B0476" w:rsidRPr="00595805">
              <w:rPr>
                <w:rFonts w:ascii="Calibri" w:eastAsia="Times New Roman" w:hAnsi="Calibri" w:cs="Times New Roman"/>
                <w:lang w:eastAsia="en-GB"/>
              </w:rPr>
              <w:t>0.44</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595805" w:rsidRDefault="00D04112" w:rsidP="00D04112">
            <w:pPr>
              <w:spacing w:after="0" w:line="240" w:lineRule="auto"/>
              <w:rPr>
                <w:rFonts w:ascii="Calibri" w:eastAsia="Times New Roman" w:hAnsi="Calibri" w:cs="Times New Roman"/>
                <w:lang w:eastAsia="en-GB"/>
              </w:rPr>
            </w:pPr>
            <w:r w:rsidRPr="00595805">
              <w:rPr>
                <w:rFonts w:ascii="Calibri" w:eastAsia="Times New Roman" w:hAnsi="Calibri" w:cs="Times New Roman"/>
                <w:lang w:eastAsia="en-GB"/>
              </w:rPr>
              <w:t> </w:t>
            </w:r>
            <w:r w:rsidR="00595805" w:rsidRPr="00595805">
              <w:rPr>
                <w:rFonts w:ascii="Calibri" w:eastAsia="Times New Roman" w:hAnsi="Calibri" w:cs="Times New Roman"/>
                <w:lang w:eastAsia="en-GB"/>
              </w:rPr>
              <w:t>0.62</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595805" w:rsidRDefault="00D04112" w:rsidP="00D04112">
            <w:pPr>
              <w:spacing w:after="0" w:line="240" w:lineRule="auto"/>
              <w:rPr>
                <w:rFonts w:ascii="Calibri" w:eastAsia="Times New Roman" w:hAnsi="Calibri" w:cs="Times New Roman"/>
                <w:lang w:eastAsia="en-GB"/>
              </w:rPr>
            </w:pPr>
            <w:r w:rsidRPr="00595805">
              <w:rPr>
                <w:rFonts w:ascii="Calibri" w:eastAsia="Times New Roman" w:hAnsi="Calibri" w:cs="Times New Roman"/>
                <w:lang w:eastAsia="en-GB"/>
              </w:rPr>
              <w:t> </w:t>
            </w:r>
            <w:r w:rsidR="003B0476" w:rsidRPr="00595805">
              <w:rPr>
                <w:rFonts w:ascii="Calibri" w:eastAsia="Times New Roman" w:hAnsi="Calibri" w:cs="Times New Roman"/>
                <w:lang w:eastAsia="en-GB"/>
              </w:rPr>
              <w:t>0.8</w:t>
            </w:r>
            <w:r w:rsidR="00453FE5">
              <w:rPr>
                <w:rFonts w:ascii="Calibri" w:eastAsia="Times New Roman" w:hAnsi="Calibri" w:cs="Times New Roman"/>
                <w:lang w:eastAsia="en-GB"/>
              </w:rPr>
              <w:t>0</w:t>
            </w:r>
          </w:p>
        </w:tc>
      </w:tr>
      <w:tr w:rsidR="00D04112" w:rsidRPr="00D04112" w:rsidTr="00D04112">
        <w:trPr>
          <w:trHeight w:val="300"/>
        </w:trPr>
        <w:tc>
          <w:tcPr>
            <w:tcW w:w="193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Jonesborough</w:t>
            </w:r>
          </w:p>
        </w:tc>
        <w:tc>
          <w:tcPr>
            <w:tcW w:w="2537" w:type="dxa"/>
            <w:tcBorders>
              <w:top w:val="nil"/>
              <w:left w:val="nil"/>
              <w:bottom w:val="single" w:sz="4" w:space="0" w:color="auto"/>
              <w:right w:val="single" w:sz="4" w:space="0" w:color="auto"/>
            </w:tcBorders>
            <w:shd w:val="clear" w:color="auto" w:fill="auto"/>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Jonesborough (JH 06)</w:t>
            </w:r>
          </w:p>
        </w:tc>
        <w:tc>
          <w:tcPr>
            <w:tcW w:w="1034"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jc w:val="right"/>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1.24</w:t>
            </w:r>
          </w:p>
        </w:tc>
        <w:tc>
          <w:tcPr>
            <w:tcW w:w="1237"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826F2">
              <w:rPr>
                <w:rFonts w:ascii="Calibri" w:eastAsia="Times New Roman" w:hAnsi="Calibri" w:cs="Times New Roman"/>
                <w:color w:val="000000"/>
                <w:lang w:eastAsia="en-GB"/>
              </w:rPr>
              <w:t>1.24</w:t>
            </w:r>
          </w:p>
        </w:tc>
        <w:tc>
          <w:tcPr>
            <w:tcW w:w="1573"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826F2">
              <w:rPr>
                <w:rFonts w:ascii="Calibri" w:eastAsia="Times New Roman" w:hAnsi="Calibri" w:cs="Times New Roman"/>
                <w:color w:val="000000"/>
                <w:lang w:eastAsia="en-GB"/>
              </w:rPr>
              <w:t>0.00</w:t>
            </w:r>
          </w:p>
        </w:tc>
        <w:tc>
          <w:tcPr>
            <w:tcW w:w="1349" w:type="dxa"/>
            <w:tcBorders>
              <w:top w:val="nil"/>
              <w:left w:val="nil"/>
              <w:bottom w:val="single" w:sz="4" w:space="0" w:color="auto"/>
              <w:right w:val="single" w:sz="4" w:space="0" w:color="auto"/>
            </w:tcBorders>
            <w:shd w:val="clear" w:color="auto" w:fill="auto"/>
            <w:noWrap/>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r w:rsidR="003826F2">
              <w:rPr>
                <w:rFonts w:ascii="Calibri" w:eastAsia="Times New Roman" w:hAnsi="Calibri" w:cs="Times New Roman"/>
                <w:color w:val="000000"/>
                <w:lang w:eastAsia="en-GB"/>
              </w:rPr>
              <w:t>0.00</w:t>
            </w:r>
          </w:p>
        </w:tc>
      </w:tr>
      <w:tr w:rsidR="00D04112" w:rsidRPr="00D04112" w:rsidTr="00CE6893">
        <w:trPr>
          <w:trHeight w:val="300"/>
        </w:trPr>
        <w:tc>
          <w:tcPr>
            <w:tcW w:w="1930" w:type="dxa"/>
            <w:tcBorders>
              <w:top w:val="nil"/>
              <w:left w:val="single" w:sz="4" w:space="0" w:color="auto"/>
              <w:bottom w:val="single" w:sz="4" w:space="0" w:color="auto"/>
              <w:right w:val="single" w:sz="4" w:space="0" w:color="auto"/>
            </w:tcBorders>
            <w:shd w:val="clear" w:color="000000" w:fill="BFBFBF"/>
            <w:vAlign w:val="bottom"/>
            <w:hideMark/>
          </w:tcPr>
          <w:p w:rsidR="00D04112" w:rsidRPr="00D04112" w:rsidRDefault="00D04112" w:rsidP="00D04112">
            <w:pPr>
              <w:spacing w:after="0" w:line="240" w:lineRule="auto"/>
              <w:rPr>
                <w:rFonts w:ascii="Calibri" w:eastAsia="Times New Roman" w:hAnsi="Calibri" w:cs="Times New Roman"/>
                <w:color w:val="000000"/>
                <w:lang w:eastAsia="en-GB"/>
              </w:rPr>
            </w:pPr>
            <w:r w:rsidRPr="00D04112">
              <w:rPr>
                <w:rFonts w:ascii="Calibri" w:eastAsia="Times New Roman" w:hAnsi="Calibri" w:cs="Times New Roman"/>
                <w:color w:val="000000"/>
                <w:lang w:eastAsia="en-GB"/>
              </w:rPr>
              <w:t> </w:t>
            </w:r>
          </w:p>
        </w:tc>
        <w:tc>
          <w:tcPr>
            <w:tcW w:w="2537" w:type="dxa"/>
            <w:tcBorders>
              <w:top w:val="nil"/>
              <w:left w:val="nil"/>
              <w:bottom w:val="single" w:sz="4" w:space="0" w:color="auto"/>
              <w:right w:val="single" w:sz="4" w:space="0" w:color="auto"/>
            </w:tcBorders>
            <w:shd w:val="clear" w:color="000000" w:fill="BFBFBF"/>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xml:space="preserve">Total </w:t>
            </w:r>
          </w:p>
        </w:tc>
        <w:tc>
          <w:tcPr>
            <w:tcW w:w="1034" w:type="dxa"/>
            <w:tcBorders>
              <w:top w:val="nil"/>
              <w:left w:val="nil"/>
              <w:bottom w:val="single" w:sz="4" w:space="0" w:color="auto"/>
              <w:right w:val="single" w:sz="4" w:space="0" w:color="auto"/>
            </w:tcBorders>
            <w:shd w:val="clear" w:color="000000" w:fill="BFBFBF"/>
            <w:noWrap/>
            <w:hideMark/>
          </w:tcPr>
          <w:p w:rsidR="00D04112" w:rsidRPr="00D04112" w:rsidRDefault="00D04112" w:rsidP="00D04112">
            <w:pPr>
              <w:spacing w:after="0" w:line="240" w:lineRule="auto"/>
              <w:jc w:val="right"/>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168.91</w:t>
            </w:r>
          </w:p>
        </w:tc>
        <w:tc>
          <w:tcPr>
            <w:tcW w:w="1237" w:type="dxa"/>
            <w:tcBorders>
              <w:top w:val="nil"/>
              <w:left w:val="nil"/>
              <w:bottom w:val="single" w:sz="4" w:space="0" w:color="auto"/>
              <w:right w:val="single" w:sz="4" w:space="0" w:color="auto"/>
            </w:tcBorders>
            <w:shd w:val="clear" w:color="000000" w:fill="BFBFBF"/>
            <w:noWrap/>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r w:rsidR="00B62E67">
              <w:rPr>
                <w:rFonts w:ascii="Calibri" w:eastAsia="Times New Roman" w:hAnsi="Calibri" w:cs="Times New Roman"/>
                <w:b/>
                <w:bCs/>
                <w:color w:val="000000"/>
                <w:lang w:eastAsia="en-GB"/>
              </w:rPr>
              <w:t>21.02</w:t>
            </w:r>
          </w:p>
        </w:tc>
        <w:tc>
          <w:tcPr>
            <w:tcW w:w="1573" w:type="dxa"/>
            <w:tcBorders>
              <w:top w:val="nil"/>
              <w:left w:val="nil"/>
              <w:bottom w:val="single" w:sz="4" w:space="0" w:color="auto"/>
              <w:right w:val="single" w:sz="4" w:space="0" w:color="auto"/>
            </w:tcBorders>
            <w:shd w:val="clear" w:color="000000" w:fill="BFBFBF"/>
            <w:noWrap/>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r w:rsidR="00CE6893">
              <w:rPr>
                <w:rFonts w:ascii="Calibri" w:eastAsia="Times New Roman" w:hAnsi="Calibri" w:cs="Times New Roman"/>
                <w:b/>
                <w:bCs/>
                <w:color w:val="000000"/>
                <w:lang w:eastAsia="en-GB"/>
              </w:rPr>
              <w:t>13.08</w:t>
            </w:r>
          </w:p>
        </w:tc>
        <w:tc>
          <w:tcPr>
            <w:tcW w:w="1349" w:type="dxa"/>
            <w:tcBorders>
              <w:top w:val="nil"/>
              <w:left w:val="nil"/>
              <w:bottom w:val="single" w:sz="4" w:space="0" w:color="auto"/>
              <w:right w:val="single" w:sz="4" w:space="0" w:color="auto"/>
            </w:tcBorders>
            <w:shd w:val="clear" w:color="000000" w:fill="BFBFBF"/>
            <w:noWrap/>
            <w:hideMark/>
          </w:tcPr>
          <w:p w:rsidR="00D04112" w:rsidRPr="00D04112" w:rsidRDefault="00D04112" w:rsidP="00D04112">
            <w:pPr>
              <w:spacing w:after="0" w:line="240" w:lineRule="auto"/>
              <w:rPr>
                <w:rFonts w:ascii="Calibri" w:eastAsia="Times New Roman" w:hAnsi="Calibri" w:cs="Times New Roman"/>
                <w:b/>
                <w:bCs/>
                <w:color w:val="000000"/>
                <w:lang w:eastAsia="en-GB"/>
              </w:rPr>
            </w:pPr>
            <w:r w:rsidRPr="00D04112">
              <w:rPr>
                <w:rFonts w:ascii="Calibri" w:eastAsia="Times New Roman" w:hAnsi="Calibri" w:cs="Times New Roman"/>
                <w:b/>
                <w:bCs/>
                <w:color w:val="000000"/>
                <w:lang w:eastAsia="en-GB"/>
              </w:rPr>
              <w:t> </w:t>
            </w:r>
            <w:r w:rsidR="00453FE5">
              <w:rPr>
                <w:rFonts w:ascii="Calibri" w:eastAsia="Times New Roman" w:hAnsi="Calibri" w:cs="Times New Roman"/>
                <w:b/>
                <w:bCs/>
                <w:color w:val="000000"/>
                <w:lang w:eastAsia="en-GB"/>
              </w:rPr>
              <w:t>132.7</w:t>
            </w:r>
            <w:r w:rsidR="00CE6893">
              <w:rPr>
                <w:rFonts w:ascii="Calibri" w:eastAsia="Times New Roman" w:hAnsi="Calibri" w:cs="Times New Roman"/>
                <w:b/>
                <w:bCs/>
                <w:color w:val="000000"/>
                <w:lang w:eastAsia="en-GB"/>
              </w:rPr>
              <w:t>8 [2.03]</w:t>
            </w:r>
          </w:p>
        </w:tc>
      </w:tr>
    </w:tbl>
    <w:p w:rsidR="00EE41A0" w:rsidRDefault="00EE41A0">
      <w:pPr>
        <w:rPr>
          <w:rFonts w:ascii="Arial" w:hAnsi="Arial" w:cs="Arial"/>
          <w:b/>
          <w:bCs/>
          <w:sz w:val="24"/>
          <w:szCs w:val="24"/>
        </w:rPr>
      </w:pPr>
      <w:r>
        <w:rPr>
          <w:rFonts w:ascii="Arial" w:hAnsi="Arial" w:cs="Arial"/>
          <w:b/>
          <w:bCs/>
          <w:sz w:val="24"/>
          <w:szCs w:val="24"/>
        </w:rPr>
        <w:br w:type="page"/>
      </w:r>
    </w:p>
    <w:p w:rsidR="00894418" w:rsidRPr="003A54AA" w:rsidRDefault="00894418" w:rsidP="000F346A">
      <w:pPr>
        <w:autoSpaceDE w:val="0"/>
        <w:autoSpaceDN w:val="0"/>
        <w:adjustRightInd w:val="0"/>
        <w:spacing w:after="0" w:line="240" w:lineRule="auto"/>
        <w:rPr>
          <w:rFonts w:ascii="Tahoma" w:hAnsi="Tahoma" w:cs="Tahoma"/>
          <w:b/>
          <w:bCs/>
          <w:sz w:val="24"/>
          <w:szCs w:val="24"/>
        </w:rPr>
      </w:pPr>
      <w:r w:rsidRPr="003A54AA">
        <w:rPr>
          <w:rFonts w:ascii="Tahoma" w:hAnsi="Tahoma" w:cs="Tahoma"/>
          <w:b/>
          <w:bCs/>
          <w:sz w:val="24"/>
          <w:szCs w:val="24"/>
        </w:rPr>
        <w:lastRenderedPageBreak/>
        <w:t xml:space="preserve">Appendix C </w:t>
      </w:r>
      <w:r w:rsidR="0034055B">
        <w:rPr>
          <w:rFonts w:ascii="Tahoma" w:hAnsi="Tahoma" w:cs="Tahoma"/>
          <w:b/>
          <w:bCs/>
          <w:sz w:val="24"/>
          <w:szCs w:val="24"/>
        </w:rPr>
        <w:t xml:space="preserve">Newry &amp; </w:t>
      </w:r>
      <w:proofErr w:type="spellStart"/>
      <w:r w:rsidR="0034055B">
        <w:rPr>
          <w:rFonts w:ascii="Tahoma" w:hAnsi="Tahoma" w:cs="Tahoma"/>
          <w:b/>
          <w:bCs/>
          <w:sz w:val="24"/>
          <w:szCs w:val="24"/>
        </w:rPr>
        <w:t>Mourne</w:t>
      </w:r>
      <w:proofErr w:type="spellEnd"/>
      <w:r w:rsidR="0034055B">
        <w:rPr>
          <w:rFonts w:ascii="Tahoma" w:hAnsi="Tahoma" w:cs="Tahoma"/>
          <w:b/>
          <w:bCs/>
          <w:sz w:val="24"/>
          <w:szCs w:val="24"/>
        </w:rPr>
        <w:t xml:space="preserve"> District </w:t>
      </w:r>
      <w:r w:rsidRPr="003A54AA">
        <w:rPr>
          <w:rFonts w:ascii="Tahoma" w:hAnsi="Tahoma" w:cs="Tahoma"/>
          <w:b/>
          <w:bCs/>
          <w:sz w:val="24"/>
          <w:szCs w:val="24"/>
        </w:rPr>
        <w:t>Zoned Mixed Use Land</w:t>
      </w: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tbl>
      <w:tblPr>
        <w:tblW w:w="9660" w:type="dxa"/>
        <w:tblInd w:w="93" w:type="dxa"/>
        <w:tblLook w:val="04A0" w:firstRow="1" w:lastRow="0" w:firstColumn="1" w:lastColumn="0" w:noHBand="0" w:noVBand="1"/>
      </w:tblPr>
      <w:tblGrid>
        <w:gridCol w:w="1380"/>
        <w:gridCol w:w="2640"/>
        <w:gridCol w:w="1180"/>
        <w:gridCol w:w="1380"/>
        <w:gridCol w:w="1660"/>
        <w:gridCol w:w="1420"/>
      </w:tblGrid>
      <w:tr w:rsidR="001A27A4" w:rsidRPr="001A27A4" w:rsidTr="001A27A4">
        <w:trPr>
          <w:trHeight w:val="885"/>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Settlement</w:t>
            </w:r>
          </w:p>
        </w:tc>
        <w:tc>
          <w:tcPr>
            <w:tcW w:w="2640" w:type="dxa"/>
            <w:tcBorders>
              <w:top w:val="single" w:sz="4" w:space="0" w:color="auto"/>
              <w:left w:val="nil"/>
              <w:bottom w:val="single" w:sz="4" w:space="0" w:color="auto"/>
              <w:right w:val="single" w:sz="4" w:space="0" w:color="auto"/>
            </w:tcBorders>
            <w:shd w:val="clear" w:color="000000" w:fill="BFBFBF"/>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Location (Zoning Ref)</w:t>
            </w:r>
          </w:p>
        </w:tc>
        <w:tc>
          <w:tcPr>
            <w:tcW w:w="118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zoned (Ha)</w:t>
            </w:r>
          </w:p>
        </w:tc>
        <w:tc>
          <w:tcPr>
            <w:tcW w:w="138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developed for industry (Ha)</w:t>
            </w:r>
          </w:p>
        </w:tc>
        <w:tc>
          <w:tcPr>
            <w:tcW w:w="166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developed for non-industry (Ha)</w:t>
            </w:r>
          </w:p>
        </w:tc>
        <w:tc>
          <w:tcPr>
            <w:tcW w:w="142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remaining undeveloped (Ha)</w:t>
            </w:r>
          </w:p>
        </w:tc>
      </w:tr>
      <w:tr w:rsidR="001A27A4" w:rsidRPr="001A27A4" w:rsidTr="001A27A4">
        <w:trPr>
          <w:trHeight w:val="3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Newry City</w:t>
            </w:r>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proofErr w:type="spellStart"/>
            <w:r w:rsidRPr="001A27A4">
              <w:rPr>
                <w:rFonts w:ascii="Calibri" w:eastAsia="Times New Roman" w:hAnsi="Calibri" w:cs="Times New Roman"/>
                <w:color w:val="000000"/>
                <w:lang w:eastAsia="en-GB"/>
              </w:rPr>
              <w:t>Tandragee</w:t>
            </w:r>
            <w:proofErr w:type="spellEnd"/>
            <w:r w:rsidRPr="001A27A4">
              <w:rPr>
                <w:rFonts w:ascii="Calibri" w:eastAsia="Times New Roman" w:hAnsi="Calibri" w:cs="Times New Roman"/>
                <w:color w:val="000000"/>
                <w:lang w:eastAsia="en-GB"/>
              </w:rPr>
              <w:t xml:space="preserve"> Road (NY71)</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2.85</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E075D9">
              <w:rPr>
                <w:rFonts w:ascii="Calibri" w:eastAsia="Times New Roman" w:hAnsi="Calibri" w:cs="Times New Roman"/>
                <w:color w:val="000000"/>
                <w:lang w:eastAsia="en-GB"/>
              </w:rPr>
              <w:t>0.00</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E075D9">
              <w:rPr>
                <w:rFonts w:ascii="Calibri" w:eastAsia="Times New Roman" w:hAnsi="Calibri" w:cs="Times New Roman"/>
                <w:color w:val="000000"/>
                <w:lang w:eastAsia="en-GB"/>
              </w:rPr>
              <w:t>0.09</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E075D9">
              <w:rPr>
                <w:rFonts w:ascii="Calibri" w:eastAsia="Times New Roman" w:hAnsi="Calibri" w:cs="Times New Roman"/>
                <w:color w:val="000000"/>
                <w:lang w:eastAsia="en-GB"/>
              </w:rPr>
              <w:t>2.76</w:t>
            </w:r>
          </w:p>
        </w:tc>
      </w:tr>
      <w:tr w:rsidR="001A27A4" w:rsidRPr="001A27A4" w:rsidTr="001A27A4">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proofErr w:type="spellStart"/>
            <w:r w:rsidRPr="001A27A4">
              <w:rPr>
                <w:rFonts w:ascii="Calibri" w:eastAsia="Times New Roman" w:hAnsi="Calibri" w:cs="Times New Roman"/>
                <w:b/>
                <w:bCs/>
                <w:color w:val="000000"/>
                <w:lang w:eastAsia="en-GB"/>
              </w:rPr>
              <w:t>Crossmaglen</w:t>
            </w:r>
            <w:proofErr w:type="spellEnd"/>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proofErr w:type="spellStart"/>
            <w:r w:rsidRPr="001A27A4">
              <w:rPr>
                <w:rFonts w:ascii="Calibri" w:eastAsia="Times New Roman" w:hAnsi="Calibri" w:cs="Times New Roman"/>
                <w:color w:val="000000"/>
                <w:lang w:eastAsia="en-GB"/>
              </w:rPr>
              <w:t>Cullaville</w:t>
            </w:r>
            <w:proofErr w:type="spellEnd"/>
            <w:r w:rsidRPr="001A27A4">
              <w:rPr>
                <w:rFonts w:ascii="Calibri" w:eastAsia="Times New Roman" w:hAnsi="Calibri" w:cs="Times New Roman"/>
                <w:color w:val="000000"/>
                <w:lang w:eastAsia="en-GB"/>
              </w:rPr>
              <w:t xml:space="preserve"> Road (CM11)</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AA5B33">
              <w:rPr>
                <w:rFonts w:ascii="Calibri" w:eastAsia="Times New Roman" w:hAnsi="Calibri" w:cs="Times New Roman"/>
                <w:color w:val="000000"/>
                <w:lang w:eastAsia="en-GB"/>
              </w:rPr>
              <w:t>3.36</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AA5B33">
              <w:rPr>
                <w:rFonts w:ascii="Calibri" w:eastAsia="Times New Roman" w:hAnsi="Calibri" w:cs="Times New Roman"/>
                <w:color w:val="000000"/>
                <w:lang w:eastAsia="en-GB"/>
              </w:rPr>
              <w:t>0.00</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AA5B33">
              <w:rPr>
                <w:rFonts w:ascii="Calibri" w:eastAsia="Times New Roman" w:hAnsi="Calibri" w:cs="Times New Roman"/>
                <w:color w:val="000000"/>
                <w:lang w:eastAsia="en-GB"/>
              </w:rPr>
              <w:t>0.00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E075D9">
              <w:rPr>
                <w:rFonts w:ascii="Calibri" w:eastAsia="Times New Roman" w:hAnsi="Calibri" w:cs="Times New Roman"/>
                <w:color w:val="000000"/>
                <w:lang w:eastAsia="en-GB"/>
              </w:rPr>
              <w:t>3.36</w:t>
            </w:r>
          </w:p>
        </w:tc>
      </w:tr>
      <w:tr w:rsidR="001A27A4" w:rsidRPr="001A27A4" w:rsidTr="001A27A4">
        <w:trPr>
          <w:trHeight w:val="3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proofErr w:type="spellStart"/>
            <w:r w:rsidRPr="001A27A4">
              <w:rPr>
                <w:rFonts w:ascii="Calibri" w:eastAsia="Times New Roman" w:hAnsi="Calibri" w:cs="Times New Roman"/>
                <w:b/>
                <w:bCs/>
                <w:color w:val="000000"/>
                <w:lang w:eastAsia="en-GB"/>
              </w:rPr>
              <w:t>Kilkeel</w:t>
            </w:r>
            <w:proofErr w:type="spellEnd"/>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Riverside (KL23)</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1.75</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377F15">
              <w:rPr>
                <w:rFonts w:ascii="Calibri" w:eastAsia="Times New Roman" w:hAnsi="Calibri" w:cs="Times New Roman"/>
                <w:color w:val="000000"/>
                <w:lang w:eastAsia="en-GB"/>
              </w:rPr>
              <w:t>0.00</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377F15">
              <w:rPr>
                <w:rFonts w:ascii="Calibri" w:eastAsia="Times New Roman" w:hAnsi="Calibri" w:cs="Times New Roman"/>
                <w:color w:val="000000"/>
                <w:lang w:eastAsia="en-GB"/>
              </w:rPr>
              <w:t>0.00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565B45">
              <w:rPr>
                <w:rFonts w:ascii="Calibri" w:eastAsia="Times New Roman" w:hAnsi="Calibri" w:cs="Times New Roman"/>
                <w:color w:val="000000"/>
                <w:lang w:eastAsia="en-GB"/>
              </w:rPr>
              <w:t>1.75</w:t>
            </w:r>
          </w:p>
        </w:tc>
      </w:tr>
      <w:tr w:rsidR="001A27A4" w:rsidRPr="001A27A4" w:rsidTr="001A27A4">
        <w:trPr>
          <w:trHeight w:val="6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xml:space="preserve">Former </w:t>
            </w:r>
            <w:proofErr w:type="spellStart"/>
            <w:r w:rsidRPr="001A27A4">
              <w:rPr>
                <w:rFonts w:ascii="Calibri" w:eastAsia="Times New Roman" w:hAnsi="Calibri" w:cs="Times New Roman"/>
                <w:color w:val="000000"/>
                <w:lang w:eastAsia="en-GB"/>
              </w:rPr>
              <w:t>Mourne</w:t>
            </w:r>
            <w:proofErr w:type="spellEnd"/>
            <w:r w:rsidRPr="001A27A4">
              <w:rPr>
                <w:rFonts w:ascii="Calibri" w:eastAsia="Times New Roman" w:hAnsi="Calibri" w:cs="Times New Roman"/>
                <w:color w:val="000000"/>
                <w:lang w:eastAsia="en-GB"/>
              </w:rPr>
              <w:t xml:space="preserve"> Hospital, Newry Street (KL24)</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1.75</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377F15">
              <w:rPr>
                <w:rFonts w:ascii="Calibri" w:eastAsia="Times New Roman" w:hAnsi="Calibri" w:cs="Times New Roman"/>
                <w:color w:val="000000"/>
                <w:lang w:eastAsia="en-GB"/>
              </w:rPr>
              <w:t>0.00</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377F15">
              <w:rPr>
                <w:rFonts w:ascii="Calibri" w:eastAsia="Times New Roman" w:hAnsi="Calibri" w:cs="Times New Roman"/>
                <w:color w:val="000000"/>
                <w:lang w:eastAsia="en-GB"/>
              </w:rPr>
              <w:t>0.00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565B45">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r w:rsidR="00565B45">
              <w:rPr>
                <w:rFonts w:ascii="Calibri" w:eastAsia="Times New Roman" w:hAnsi="Calibri" w:cs="Times New Roman"/>
                <w:color w:val="000000"/>
                <w:lang w:eastAsia="en-GB"/>
              </w:rPr>
              <w:t>1.75</w:t>
            </w:r>
          </w:p>
        </w:tc>
      </w:tr>
      <w:tr w:rsidR="001A27A4" w:rsidRPr="001A27A4" w:rsidTr="001A27A4">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p>
        </w:tc>
        <w:tc>
          <w:tcPr>
            <w:tcW w:w="2640" w:type="dxa"/>
            <w:tcBorders>
              <w:top w:val="nil"/>
              <w:left w:val="nil"/>
              <w:bottom w:val="single" w:sz="4" w:space="0" w:color="auto"/>
              <w:right w:val="single" w:sz="4" w:space="0" w:color="auto"/>
            </w:tcBorders>
            <w:shd w:val="clear" w:color="000000" w:fill="BFBFBF"/>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xml:space="preserve">Total </w:t>
            </w:r>
          </w:p>
        </w:tc>
        <w:tc>
          <w:tcPr>
            <w:tcW w:w="118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565B45">
            <w:pPr>
              <w:spacing w:after="0" w:line="240" w:lineRule="auto"/>
              <w:jc w:val="right"/>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565B45">
              <w:rPr>
                <w:rFonts w:ascii="Calibri" w:eastAsia="Times New Roman" w:hAnsi="Calibri" w:cs="Times New Roman"/>
                <w:b/>
                <w:bCs/>
                <w:color w:val="000000"/>
                <w:lang w:eastAsia="en-GB"/>
              </w:rPr>
              <w:t>9.71</w:t>
            </w:r>
          </w:p>
        </w:tc>
        <w:tc>
          <w:tcPr>
            <w:tcW w:w="138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565B45">
            <w:pPr>
              <w:spacing w:after="0" w:line="240" w:lineRule="auto"/>
              <w:jc w:val="right"/>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565B45">
              <w:rPr>
                <w:rFonts w:ascii="Calibri" w:eastAsia="Times New Roman" w:hAnsi="Calibri" w:cs="Times New Roman"/>
                <w:b/>
                <w:bCs/>
                <w:color w:val="000000"/>
                <w:lang w:eastAsia="en-GB"/>
              </w:rPr>
              <w:t>0.00</w:t>
            </w:r>
          </w:p>
        </w:tc>
        <w:tc>
          <w:tcPr>
            <w:tcW w:w="166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565B45">
            <w:pPr>
              <w:spacing w:after="0" w:line="240" w:lineRule="auto"/>
              <w:jc w:val="right"/>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565B45">
              <w:rPr>
                <w:rFonts w:ascii="Calibri" w:eastAsia="Times New Roman" w:hAnsi="Calibri" w:cs="Times New Roman"/>
                <w:b/>
                <w:bCs/>
                <w:color w:val="000000"/>
                <w:lang w:eastAsia="en-GB"/>
              </w:rPr>
              <w:t>0.09</w:t>
            </w:r>
          </w:p>
        </w:tc>
        <w:tc>
          <w:tcPr>
            <w:tcW w:w="1420" w:type="dxa"/>
            <w:tcBorders>
              <w:top w:val="nil"/>
              <w:left w:val="nil"/>
              <w:bottom w:val="single" w:sz="4" w:space="0" w:color="auto"/>
              <w:right w:val="single" w:sz="4" w:space="0" w:color="auto"/>
            </w:tcBorders>
            <w:shd w:val="clear" w:color="000000" w:fill="BFBFBF"/>
            <w:noWrap/>
            <w:vAlign w:val="bottom"/>
            <w:hideMark/>
          </w:tcPr>
          <w:p w:rsidR="001A27A4" w:rsidRPr="001A27A4" w:rsidRDefault="00565B45" w:rsidP="00565B45">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9.62</w:t>
            </w:r>
          </w:p>
        </w:tc>
      </w:tr>
    </w:tbl>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Pr="003A54AA" w:rsidRDefault="00521F09" w:rsidP="000F346A">
      <w:pPr>
        <w:autoSpaceDE w:val="0"/>
        <w:autoSpaceDN w:val="0"/>
        <w:adjustRightInd w:val="0"/>
        <w:spacing w:after="0" w:line="240" w:lineRule="auto"/>
        <w:rPr>
          <w:rFonts w:ascii="Tahoma" w:hAnsi="Tahoma" w:cs="Tahoma"/>
          <w:b/>
          <w:bCs/>
          <w:sz w:val="24"/>
          <w:szCs w:val="24"/>
        </w:rPr>
      </w:pPr>
      <w:r>
        <w:rPr>
          <w:rFonts w:ascii="Tahoma" w:hAnsi="Tahoma" w:cs="Tahoma"/>
          <w:b/>
          <w:bCs/>
          <w:sz w:val="24"/>
          <w:szCs w:val="24"/>
        </w:rPr>
        <w:lastRenderedPageBreak/>
        <w:t xml:space="preserve">Appendix D Down </w:t>
      </w:r>
      <w:r w:rsidR="0034055B">
        <w:rPr>
          <w:rFonts w:ascii="Tahoma" w:hAnsi="Tahoma" w:cs="Tahoma"/>
          <w:b/>
          <w:bCs/>
          <w:sz w:val="24"/>
          <w:szCs w:val="24"/>
        </w:rPr>
        <w:t xml:space="preserve">District </w:t>
      </w:r>
      <w:r w:rsidR="00894418" w:rsidRPr="003A54AA">
        <w:rPr>
          <w:rFonts w:ascii="Tahoma" w:hAnsi="Tahoma" w:cs="Tahoma"/>
          <w:b/>
          <w:bCs/>
          <w:sz w:val="24"/>
          <w:szCs w:val="24"/>
        </w:rPr>
        <w:t>Zoned Industrial Land</w:t>
      </w: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tbl>
      <w:tblPr>
        <w:tblW w:w="9660" w:type="dxa"/>
        <w:tblInd w:w="93" w:type="dxa"/>
        <w:tblLook w:val="04A0" w:firstRow="1" w:lastRow="0" w:firstColumn="1" w:lastColumn="0" w:noHBand="0" w:noVBand="1"/>
      </w:tblPr>
      <w:tblGrid>
        <w:gridCol w:w="1388"/>
        <w:gridCol w:w="2632"/>
        <w:gridCol w:w="1180"/>
        <w:gridCol w:w="1380"/>
        <w:gridCol w:w="1660"/>
        <w:gridCol w:w="1420"/>
      </w:tblGrid>
      <w:tr w:rsidR="001A27A4" w:rsidRPr="001A27A4" w:rsidTr="001A27A4">
        <w:trPr>
          <w:trHeight w:val="885"/>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Settlement</w:t>
            </w:r>
          </w:p>
        </w:tc>
        <w:tc>
          <w:tcPr>
            <w:tcW w:w="2640" w:type="dxa"/>
            <w:tcBorders>
              <w:top w:val="single" w:sz="4" w:space="0" w:color="auto"/>
              <w:left w:val="nil"/>
              <w:bottom w:val="single" w:sz="4" w:space="0" w:color="auto"/>
              <w:right w:val="single" w:sz="4" w:space="0" w:color="auto"/>
            </w:tcBorders>
            <w:shd w:val="clear" w:color="000000" w:fill="BFBFBF"/>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Location (Zoning Ref)</w:t>
            </w:r>
          </w:p>
        </w:tc>
        <w:tc>
          <w:tcPr>
            <w:tcW w:w="118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zoned for industry (Ha)</w:t>
            </w:r>
          </w:p>
        </w:tc>
        <w:tc>
          <w:tcPr>
            <w:tcW w:w="138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developed for industry (Ha)</w:t>
            </w:r>
          </w:p>
        </w:tc>
        <w:tc>
          <w:tcPr>
            <w:tcW w:w="166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Area lost/developed for non-industry (Ha)</w:t>
            </w:r>
          </w:p>
        </w:tc>
        <w:tc>
          <w:tcPr>
            <w:tcW w:w="1420" w:type="dxa"/>
            <w:tcBorders>
              <w:top w:val="single" w:sz="4" w:space="0" w:color="auto"/>
              <w:left w:val="nil"/>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xml:space="preserve">Area remaining undeveloped </w:t>
            </w:r>
            <w:r w:rsidR="00745BFC">
              <w:rPr>
                <w:rFonts w:ascii="Calibri" w:eastAsia="Times New Roman" w:hAnsi="Calibri" w:cs="Times New Roman"/>
                <w:b/>
                <w:bCs/>
                <w:color w:val="000000"/>
                <w:lang w:eastAsia="en-GB"/>
              </w:rPr>
              <w:t xml:space="preserve">[vacant] </w:t>
            </w:r>
            <w:r w:rsidRPr="001A27A4">
              <w:rPr>
                <w:rFonts w:ascii="Calibri" w:eastAsia="Times New Roman" w:hAnsi="Calibri" w:cs="Times New Roman"/>
                <w:b/>
                <w:bCs/>
                <w:color w:val="000000"/>
                <w:lang w:eastAsia="en-GB"/>
              </w:rPr>
              <w:t>(Ha)</w:t>
            </w:r>
          </w:p>
        </w:tc>
      </w:tr>
      <w:tr w:rsidR="001A27A4" w:rsidRPr="001A27A4" w:rsidTr="001A27A4">
        <w:trPr>
          <w:trHeight w:val="3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Downpatrick</w:t>
            </w:r>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proofErr w:type="spellStart"/>
            <w:r w:rsidRPr="001A27A4">
              <w:rPr>
                <w:rFonts w:ascii="Calibri" w:eastAsia="Times New Roman" w:hAnsi="Calibri" w:cs="Times New Roman"/>
                <w:color w:val="000000"/>
                <w:lang w:eastAsia="en-GB"/>
              </w:rPr>
              <w:t>Killough</w:t>
            </w:r>
            <w:proofErr w:type="spellEnd"/>
            <w:r w:rsidRPr="001A27A4">
              <w:rPr>
                <w:rFonts w:ascii="Calibri" w:eastAsia="Times New Roman" w:hAnsi="Calibri" w:cs="Times New Roman"/>
                <w:color w:val="000000"/>
                <w:lang w:eastAsia="en-GB"/>
              </w:rPr>
              <w:t xml:space="preserve"> Road </w:t>
            </w:r>
            <w:r w:rsidR="00D66AE6">
              <w:rPr>
                <w:rFonts w:ascii="Calibri" w:eastAsia="Times New Roman" w:hAnsi="Calibri" w:cs="Times New Roman"/>
                <w:color w:val="000000"/>
                <w:lang w:eastAsia="en-GB"/>
              </w:rPr>
              <w:t xml:space="preserve">Industrial Estate </w:t>
            </w:r>
            <w:r w:rsidRPr="001A27A4">
              <w:rPr>
                <w:rFonts w:ascii="Calibri" w:eastAsia="Times New Roman" w:hAnsi="Calibri" w:cs="Times New Roman"/>
                <w:color w:val="000000"/>
                <w:lang w:eastAsia="en-GB"/>
              </w:rPr>
              <w:t>(DK14)</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1A27A4">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7.9</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E075D9" w:rsidRDefault="001A27A4" w:rsidP="001A27A4">
            <w:pPr>
              <w:spacing w:after="0" w:line="240" w:lineRule="auto"/>
              <w:rPr>
                <w:rFonts w:ascii="Calibri" w:eastAsia="Times New Roman" w:hAnsi="Calibri" w:cs="Times New Roman"/>
                <w:lang w:eastAsia="en-GB"/>
              </w:rPr>
            </w:pPr>
            <w:r w:rsidRPr="00E075D9">
              <w:rPr>
                <w:rFonts w:ascii="Calibri" w:eastAsia="Times New Roman" w:hAnsi="Calibri" w:cs="Times New Roman"/>
                <w:lang w:eastAsia="en-GB"/>
              </w:rPr>
              <w:t> </w:t>
            </w:r>
            <w:r w:rsidR="000315D3" w:rsidRPr="00114A5A">
              <w:rPr>
                <w:rFonts w:ascii="Calibri" w:eastAsia="Times New Roman" w:hAnsi="Calibri" w:cs="Times New Roman"/>
                <w:lang w:eastAsia="en-GB"/>
              </w:rPr>
              <w:t>0.25</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E075D9" w:rsidRDefault="001A27A4" w:rsidP="001A27A4">
            <w:pPr>
              <w:spacing w:after="0" w:line="240" w:lineRule="auto"/>
              <w:rPr>
                <w:rFonts w:ascii="Calibri" w:eastAsia="Times New Roman" w:hAnsi="Calibri" w:cs="Times New Roman"/>
                <w:lang w:eastAsia="en-GB"/>
              </w:rPr>
            </w:pPr>
            <w:r w:rsidRPr="00E075D9">
              <w:rPr>
                <w:rFonts w:ascii="Calibri" w:eastAsia="Times New Roman" w:hAnsi="Calibri" w:cs="Times New Roman"/>
                <w:lang w:eastAsia="en-GB"/>
              </w:rPr>
              <w:t> </w:t>
            </w:r>
            <w:r w:rsidR="00AC77E1" w:rsidRPr="00E075D9">
              <w:rPr>
                <w:rFonts w:ascii="Calibri" w:eastAsia="Times New Roman" w:hAnsi="Calibri" w:cs="Times New Roman"/>
                <w:lang w:eastAsia="en-GB"/>
              </w:rPr>
              <w:t>0.00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F01D6B" w:rsidRDefault="001A27A4" w:rsidP="001A27A4">
            <w:pPr>
              <w:spacing w:after="0" w:line="240" w:lineRule="auto"/>
              <w:rPr>
                <w:rFonts w:ascii="Calibri" w:eastAsia="Times New Roman" w:hAnsi="Calibri" w:cs="Times New Roman"/>
                <w:color w:val="FF0000"/>
                <w:lang w:eastAsia="en-GB"/>
              </w:rPr>
            </w:pPr>
            <w:r w:rsidRPr="00F01D6B">
              <w:rPr>
                <w:rFonts w:ascii="Calibri" w:eastAsia="Times New Roman" w:hAnsi="Calibri" w:cs="Times New Roman"/>
                <w:color w:val="FF0000"/>
                <w:lang w:eastAsia="en-GB"/>
              </w:rPr>
              <w:t> </w:t>
            </w:r>
            <w:r w:rsidR="00E075D9" w:rsidRPr="00E075D9">
              <w:rPr>
                <w:rFonts w:ascii="Calibri" w:eastAsia="Times New Roman" w:hAnsi="Calibri" w:cs="Times New Roman"/>
                <w:lang w:eastAsia="en-GB"/>
              </w:rPr>
              <w:t>7.65</w:t>
            </w:r>
          </w:p>
        </w:tc>
      </w:tr>
      <w:tr w:rsidR="001A27A4" w:rsidRPr="001A27A4" w:rsidTr="001A27A4">
        <w:trPr>
          <w:trHeight w:val="6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proofErr w:type="spellStart"/>
            <w:r w:rsidRPr="001A27A4">
              <w:rPr>
                <w:rFonts w:ascii="Calibri" w:eastAsia="Times New Roman" w:hAnsi="Calibri" w:cs="Times New Roman"/>
                <w:color w:val="000000"/>
                <w:lang w:eastAsia="en-GB"/>
              </w:rPr>
              <w:t>Cloonagh</w:t>
            </w:r>
            <w:proofErr w:type="spellEnd"/>
            <w:r w:rsidRPr="001A27A4">
              <w:rPr>
                <w:rFonts w:ascii="Calibri" w:eastAsia="Times New Roman" w:hAnsi="Calibri" w:cs="Times New Roman"/>
                <w:color w:val="000000"/>
                <w:lang w:eastAsia="en-GB"/>
              </w:rPr>
              <w:t xml:space="preserve"> Road and </w:t>
            </w:r>
            <w:proofErr w:type="spellStart"/>
            <w:r w:rsidRPr="001A27A4">
              <w:rPr>
                <w:rFonts w:ascii="Calibri" w:eastAsia="Times New Roman" w:hAnsi="Calibri" w:cs="Times New Roman"/>
                <w:color w:val="000000"/>
                <w:lang w:eastAsia="en-GB"/>
              </w:rPr>
              <w:t>Brannish</w:t>
            </w:r>
            <w:proofErr w:type="spellEnd"/>
            <w:r w:rsidRPr="001A27A4">
              <w:rPr>
                <w:rFonts w:ascii="Calibri" w:eastAsia="Times New Roman" w:hAnsi="Calibri" w:cs="Times New Roman"/>
                <w:color w:val="000000"/>
                <w:lang w:eastAsia="en-GB"/>
              </w:rPr>
              <w:t xml:space="preserve"> Road </w:t>
            </w:r>
            <w:r w:rsidR="00D05A1A">
              <w:rPr>
                <w:rFonts w:ascii="Calibri" w:eastAsia="Times New Roman" w:hAnsi="Calibri" w:cs="Times New Roman"/>
                <w:color w:val="000000"/>
                <w:lang w:eastAsia="en-GB"/>
              </w:rPr>
              <w:t>(DK15)</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1A27A4">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11.8</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845E9A" w:rsidRDefault="001A27A4" w:rsidP="001A27A4">
            <w:pPr>
              <w:spacing w:after="0" w:line="240" w:lineRule="auto"/>
              <w:rPr>
                <w:rFonts w:ascii="Calibri" w:eastAsia="Times New Roman" w:hAnsi="Calibri" w:cs="Times New Roman"/>
                <w:lang w:eastAsia="en-GB"/>
              </w:rPr>
            </w:pPr>
            <w:r w:rsidRPr="00845E9A">
              <w:rPr>
                <w:rFonts w:ascii="Calibri" w:eastAsia="Times New Roman" w:hAnsi="Calibri" w:cs="Times New Roman"/>
                <w:lang w:eastAsia="en-GB"/>
              </w:rPr>
              <w:t> </w:t>
            </w:r>
            <w:r w:rsidR="00745BFC">
              <w:rPr>
                <w:rFonts w:ascii="Calibri" w:eastAsia="Times New Roman" w:hAnsi="Calibri" w:cs="Times New Roman"/>
                <w:lang w:eastAsia="en-GB"/>
              </w:rPr>
              <w:t>0.48</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845E9A" w:rsidRDefault="001A27A4" w:rsidP="001A27A4">
            <w:pPr>
              <w:spacing w:after="0" w:line="240" w:lineRule="auto"/>
              <w:rPr>
                <w:rFonts w:ascii="Calibri" w:eastAsia="Times New Roman" w:hAnsi="Calibri" w:cs="Times New Roman"/>
                <w:lang w:eastAsia="en-GB"/>
              </w:rPr>
            </w:pPr>
            <w:r w:rsidRPr="00845E9A">
              <w:rPr>
                <w:rFonts w:ascii="Calibri" w:eastAsia="Times New Roman" w:hAnsi="Calibri" w:cs="Times New Roman"/>
                <w:lang w:eastAsia="en-GB"/>
              </w:rPr>
              <w:t> </w:t>
            </w:r>
            <w:r w:rsidR="00745BFC">
              <w:rPr>
                <w:rFonts w:ascii="Calibri" w:eastAsia="Times New Roman" w:hAnsi="Calibri" w:cs="Times New Roman"/>
                <w:lang w:eastAsia="en-GB"/>
              </w:rPr>
              <w:t>1.84</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F01D6B" w:rsidRDefault="001A27A4" w:rsidP="001A27A4">
            <w:pPr>
              <w:spacing w:after="0" w:line="240" w:lineRule="auto"/>
              <w:rPr>
                <w:rFonts w:ascii="Calibri" w:eastAsia="Times New Roman" w:hAnsi="Calibri" w:cs="Times New Roman"/>
                <w:color w:val="FF0000"/>
                <w:lang w:eastAsia="en-GB"/>
              </w:rPr>
            </w:pPr>
            <w:r w:rsidRPr="00F01D6B">
              <w:rPr>
                <w:rFonts w:ascii="Calibri" w:eastAsia="Times New Roman" w:hAnsi="Calibri" w:cs="Times New Roman"/>
                <w:color w:val="FF0000"/>
                <w:lang w:eastAsia="en-GB"/>
              </w:rPr>
              <w:t> </w:t>
            </w:r>
            <w:r w:rsidR="00E075D9" w:rsidRPr="00E075D9">
              <w:rPr>
                <w:rFonts w:ascii="Calibri" w:eastAsia="Times New Roman" w:hAnsi="Calibri" w:cs="Times New Roman"/>
                <w:lang w:eastAsia="en-GB"/>
              </w:rPr>
              <w:t>9.18</w:t>
            </w:r>
            <w:r w:rsidR="00745BFC">
              <w:rPr>
                <w:rFonts w:ascii="Calibri" w:eastAsia="Times New Roman" w:hAnsi="Calibri" w:cs="Times New Roman"/>
                <w:lang w:eastAsia="en-GB"/>
              </w:rPr>
              <w:t xml:space="preserve"> [0.3]</w:t>
            </w:r>
          </w:p>
        </w:tc>
      </w:tr>
      <w:tr w:rsidR="001A27A4" w:rsidRPr="001A27A4" w:rsidTr="00D35275">
        <w:trPr>
          <w:trHeight w:val="6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p>
        </w:tc>
        <w:tc>
          <w:tcPr>
            <w:tcW w:w="2640" w:type="dxa"/>
            <w:tcBorders>
              <w:top w:val="nil"/>
              <w:left w:val="nil"/>
              <w:bottom w:val="single" w:sz="4" w:space="0" w:color="auto"/>
              <w:right w:val="single" w:sz="4" w:space="0" w:color="auto"/>
            </w:tcBorders>
            <w:shd w:val="clear" w:color="auto" w:fill="FFFFFF" w:themeFill="background1"/>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Down Business Park, Belfast Road (COU 12)</w:t>
            </w:r>
            <w:r w:rsidR="008352E1">
              <w:rPr>
                <w:rFonts w:ascii="Calibri" w:eastAsia="Times New Roman" w:hAnsi="Calibri" w:cs="Times New Roman"/>
                <w:color w:val="000000"/>
                <w:lang w:eastAsia="en-GB"/>
              </w:rPr>
              <w:t>*</w:t>
            </w:r>
          </w:p>
        </w:tc>
        <w:tc>
          <w:tcPr>
            <w:tcW w:w="1180" w:type="dxa"/>
            <w:tcBorders>
              <w:top w:val="nil"/>
              <w:left w:val="nil"/>
              <w:bottom w:val="single" w:sz="4" w:space="0" w:color="auto"/>
              <w:right w:val="single" w:sz="4" w:space="0" w:color="auto"/>
            </w:tcBorders>
            <w:shd w:val="clear" w:color="auto" w:fill="FFFFFF" w:themeFill="background1"/>
            <w:noWrap/>
            <w:vAlign w:val="bottom"/>
            <w:hideMark/>
          </w:tcPr>
          <w:p w:rsidR="001A27A4" w:rsidRPr="001A27A4" w:rsidRDefault="001A27A4" w:rsidP="001A27A4">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34</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rsidR="001A27A4" w:rsidRPr="00E075D9" w:rsidRDefault="001A27A4" w:rsidP="001A27A4">
            <w:pPr>
              <w:spacing w:after="0" w:line="240" w:lineRule="auto"/>
              <w:rPr>
                <w:rFonts w:ascii="Calibri" w:eastAsia="Times New Roman" w:hAnsi="Calibri" w:cs="Times New Roman"/>
                <w:lang w:eastAsia="en-GB"/>
              </w:rPr>
            </w:pPr>
            <w:r w:rsidRPr="00E075D9">
              <w:rPr>
                <w:rFonts w:ascii="Calibri" w:eastAsia="Times New Roman" w:hAnsi="Calibri" w:cs="Times New Roman"/>
                <w:lang w:eastAsia="en-GB"/>
              </w:rPr>
              <w:t> </w:t>
            </w:r>
            <w:r w:rsidR="00745BFC">
              <w:rPr>
                <w:rFonts w:ascii="Calibri" w:eastAsia="Times New Roman" w:hAnsi="Calibri" w:cs="Times New Roman"/>
                <w:lang w:eastAsia="en-GB"/>
              </w:rPr>
              <w:t>5.88</w:t>
            </w:r>
          </w:p>
        </w:tc>
        <w:tc>
          <w:tcPr>
            <w:tcW w:w="1660" w:type="dxa"/>
            <w:tcBorders>
              <w:top w:val="nil"/>
              <w:left w:val="nil"/>
              <w:bottom w:val="single" w:sz="4" w:space="0" w:color="auto"/>
              <w:right w:val="single" w:sz="4" w:space="0" w:color="auto"/>
            </w:tcBorders>
            <w:shd w:val="clear" w:color="auto" w:fill="FFFFFF" w:themeFill="background1"/>
            <w:noWrap/>
            <w:vAlign w:val="bottom"/>
            <w:hideMark/>
          </w:tcPr>
          <w:p w:rsidR="001A27A4" w:rsidRPr="00E075D9" w:rsidRDefault="001A27A4" w:rsidP="001A27A4">
            <w:pPr>
              <w:spacing w:after="0" w:line="240" w:lineRule="auto"/>
              <w:rPr>
                <w:rFonts w:ascii="Calibri" w:eastAsia="Times New Roman" w:hAnsi="Calibri" w:cs="Times New Roman"/>
                <w:lang w:eastAsia="en-GB"/>
              </w:rPr>
            </w:pPr>
            <w:r w:rsidRPr="00E075D9">
              <w:rPr>
                <w:rFonts w:ascii="Calibri" w:eastAsia="Times New Roman" w:hAnsi="Calibri" w:cs="Times New Roman"/>
                <w:lang w:eastAsia="en-GB"/>
              </w:rPr>
              <w:t> </w:t>
            </w:r>
            <w:r w:rsidR="00745BFC">
              <w:rPr>
                <w:rFonts w:ascii="Calibri" w:eastAsia="Times New Roman" w:hAnsi="Calibri" w:cs="Times New Roman"/>
                <w:lang w:eastAsia="en-GB"/>
              </w:rPr>
              <w:t>7.53</w:t>
            </w:r>
          </w:p>
        </w:tc>
        <w:tc>
          <w:tcPr>
            <w:tcW w:w="1420" w:type="dxa"/>
            <w:tcBorders>
              <w:top w:val="nil"/>
              <w:left w:val="nil"/>
              <w:bottom w:val="single" w:sz="4" w:space="0" w:color="auto"/>
              <w:right w:val="single" w:sz="4" w:space="0" w:color="auto"/>
            </w:tcBorders>
            <w:shd w:val="clear" w:color="auto" w:fill="FFFFFF" w:themeFill="background1"/>
            <w:noWrap/>
            <w:vAlign w:val="bottom"/>
            <w:hideMark/>
          </w:tcPr>
          <w:p w:rsidR="001A27A4" w:rsidRPr="00E075D9" w:rsidRDefault="00E075D9" w:rsidP="00AC77E1">
            <w:pPr>
              <w:spacing w:after="0" w:line="240" w:lineRule="auto"/>
              <w:rPr>
                <w:rFonts w:ascii="Calibri" w:eastAsia="Times New Roman" w:hAnsi="Calibri" w:cs="Times New Roman"/>
                <w:lang w:eastAsia="en-GB"/>
              </w:rPr>
            </w:pPr>
            <w:r w:rsidRPr="00E075D9">
              <w:rPr>
                <w:rFonts w:ascii="Calibri" w:eastAsia="Times New Roman" w:hAnsi="Calibri" w:cs="Times New Roman"/>
                <w:lang w:eastAsia="en-GB"/>
              </w:rPr>
              <w:t>20.51</w:t>
            </w:r>
            <w:r w:rsidR="00745BFC">
              <w:rPr>
                <w:rFonts w:ascii="Calibri" w:eastAsia="Times New Roman" w:hAnsi="Calibri" w:cs="Times New Roman"/>
                <w:lang w:eastAsia="en-GB"/>
              </w:rPr>
              <w:t xml:space="preserve"> [0.08]</w:t>
            </w:r>
          </w:p>
        </w:tc>
      </w:tr>
      <w:tr w:rsidR="001A27A4" w:rsidRPr="001A27A4" w:rsidTr="001A27A4">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proofErr w:type="spellStart"/>
            <w:r w:rsidRPr="001A27A4">
              <w:rPr>
                <w:rFonts w:ascii="Calibri" w:eastAsia="Times New Roman" w:hAnsi="Calibri" w:cs="Times New Roman"/>
                <w:b/>
                <w:bCs/>
                <w:color w:val="000000"/>
                <w:lang w:eastAsia="en-GB"/>
              </w:rPr>
              <w:t>Ballnahinch</w:t>
            </w:r>
            <w:proofErr w:type="spellEnd"/>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Old Belfast Road</w:t>
            </w:r>
            <w:r w:rsidR="00EE56C9">
              <w:rPr>
                <w:rFonts w:ascii="Calibri" w:eastAsia="Times New Roman" w:hAnsi="Calibri" w:cs="Times New Roman"/>
                <w:color w:val="000000"/>
                <w:lang w:eastAsia="en-GB"/>
              </w:rPr>
              <w:t xml:space="preserve"> (BH17)</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1A27A4">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5.05</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AC77E1" w:rsidRPr="00565B45">
              <w:rPr>
                <w:rFonts w:ascii="Calibri" w:eastAsia="Times New Roman" w:hAnsi="Calibri" w:cs="Times New Roman"/>
                <w:lang w:eastAsia="en-GB"/>
              </w:rPr>
              <w:t>0.00</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D35275" w:rsidRPr="00565B45">
              <w:rPr>
                <w:rFonts w:ascii="Calibri" w:eastAsia="Times New Roman" w:hAnsi="Calibri" w:cs="Times New Roman"/>
                <w:lang w:eastAsia="en-GB"/>
              </w:rPr>
              <w:t>0.30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D35275" w:rsidRPr="00565B45">
              <w:rPr>
                <w:rFonts w:ascii="Calibri" w:eastAsia="Times New Roman" w:hAnsi="Calibri" w:cs="Times New Roman"/>
                <w:lang w:eastAsia="en-GB"/>
              </w:rPr>
              <w:t>4.75</w:t>
            </w:r>
          </w:p>
        </w:tc>
      </w:tr>
      <w:tr w:rsidR="001A27A4" w:rsidRPr="001A27A4" w:rsidTr="001A27A4">
        <w:trPr>
          <w:trHeight w:val="600"/>
        </w:trPr>
        <w:tc>
          <w:tcPr>
            <w:tcW w:w="1380" w:type="dxa"/>
            <w:tcBorders>
              <w:top w:val="nil"/>
              <w:left w:val="single" w:sz="4" w:space="0" w:color="auto"/>
              <w:bottom w:val="nil"/>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Newcastle</w:t>
            </w:r>
          </w:p>
        </w:tc>
        <w:tc>
          <w:tcPr>
            <w:tcW w:w="2640" w:type="dxa"/>
            <w:tcBorders>
              <w:top w:val="nil"/>
              <w:left w:val="nil"/>
              <w:bottom w:val="single" w:sz="4" w:space="0" w:color="auto"/>
              <w:right w:val="single" w:sz="4" w:space="0" w:color="auto"/>
            </w:tcBorders>
            <w:shd w:val="clear" w:color="auto" w:fill="auto"/>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xml:space="preserve">Adjacent to </w:t>
            </w:r>
            <w:proofErr w:type="spellStart"/>
            <w:r w:rsidRPr="001A27A4">
              <w:rPr>
                <w:rFonts w:ascii="Calibri" w:eastAsia="Times New Roman" w:hAnsi="Calibri" w:cs="Times New Roman"/>
                <w:color w:val="000000"/>
                <w:lang w:eastAsia="en-GB"/>
              </w:rPr>
              <w:t>Mourne</w:t>
            </w:r>
            <w:proofErr w:type="spellEnd"/>
            <w:r w:rsidRPr="001A27A4">
              <w:rPr>
                <w:rFonts w:ascii="Calibri" w:eastAsia="Times New Roman" w:hAnsi="Calibri" w:cs="Times New Roman"/>
                <w:color w:val="000000"/>
                <w:lang w:eastAsia="en-GB"/>
              </w:rPr>
              <w:t xml:space="preserve"> View Avenue</w:t>
            </w:r>
            <w:r w:rsidR="00EE56C9">
              <w:rPr>
                <w:rFonts w:ascii="Calibri" w:eastAsia="Times New Roman" w:hAnsi="Calibri" w:cs="Times New Roman"/>
                <w:color w:val="000000"/>
                <w:lang w:eastAsia="en-GB"/>
              </w:rPr>
              <w:t xml:space="preserve"> (NE15)</w:t>
            </w:r>
          </w:p>
        </w:tc>
        <w:tc>
          <w:tcPr>
            <w:tcW w:w="1180" w:type="dxa"/>
            <w:tcBorders>
              <w:top w:val="nil"/>
              <w:left w:val="nil"/>
              <w:bottom w:val="single" w:sz="4" w:space="0" w:color="auto"/>
              <w:right w:val="single" w:sz="4" w:space="0" w:color="auto"/>
            </w:tcBorders>
            <w:shd w:val="clear" w:color="auto" w:fill="auto"/>
            <w:noWrap/>
            <w:vAlign w:val="bottom"/>
            <w:hideMark/>
          </w:tcPr>
          <w:p w:rsidR="001A27A4" w:rsidRPr="001A27A4" w:rsidRDefault="001A27A4" w:rsidP="001A27A4">
            <w:pPr>
              <w:spacing w:after="0" w:line="240" w:lineRule="auto"/>
              <w:jc w:val="right"/>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0.33</w:t>
            </w:r>
          </w:p>
        </w:tc>
        <w:tc>
          <w:tcPr>
            <w:tcW w:w="138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AC77E1" w:rsidRPr="00565B45">
              <w:rPr>
                <w:rFonts w:ascii="Calibri" w:eastAsia="Times New Roman" w:hAnsi="Calibri" w:cs="Times New Roman"/>
                <w:lang w:eastAsia="en-GB"/>
              </w:rPr>
              <w:t>0.33</w:t>
            </w:r>
          </w:p>
        </w:tc>
        <w:tc>
          <w:tcPr>
            <w:tcW w:w="166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AC77E1" w:rsidRPr="00565B45">
              <w:rPr>
                <w:rFonts w:ascii="Calibri" w:eastAsia="Times New Roman" w:hAnsi="Calibri" w:cs="Times New Roman"/>
                <w:lang w:eastAsia="en-GB"/>
              </w:rPr>
              <w:t>0.00</w:t>
            </w:r>
          </w:p>
        </w:tc>
        <w:tc>
          <w:tcPr>
            <w:tcW w:w="1420" w:type="dxa"/>
            <w:tcBorders>
              <w:top w:val="nil"/>
              <w:left w:val="nil"/>
              <w:bottom w:val="single" w:sz="4" w:space="0" w:color="auto"/>
              <w:right w:val="single" w:sz="4" w:space="0" w:color="auto"/>
            </w:tcBorders>
            <w:shd w:val="clear" w:color="auto" w:fill="auto"/>
            <w:noWrap/>
            <w:vAlign w:val="bottom"/>
            <w:hideMark/>
          </w:tcPr>
          <w:p w:rsidR="001A27A4" w:rsidRPr="00565B45" w:rsidRDefault="001A27A4" w:rsidP="001A27A4">
            <w:pPr>
              <w:spacing w:after="0" w:line="240" w:lineRule="auto"/>
              <w:rPr>
                <w:rFonts w:ascii="Calibri" w:eastAsia="Times New Roman" w:hAnsi="Calibri" w:cs="Times New Roman"/>
                <w:lang w:eastAsia="en-GB"/>
              </w:rPr>
            </w:pPr>
            <w:r w:rsidRPr="00565B45">
              <w:rPr>
                <w:rFonts w:ascii="Calibri" w:eastAsia="Times New Roman" w:hAnsi="Calibri" w:cs="Times New Roman"/>
                <w:lang w:eastAsia="en-GB"/>
              </w:rPr>
              <w:t> </w:t>
            </w:r>
            <w:r w:rsidR="00AC77E1" w:rsidRPr="00565B45">
              <w:rPr>
                <w:rFonts w:ascii="Calibri" w:eastAsia="Times New Roman" w:hAnsi="Calibri" w:cs="Times New Roman"/>
                <w:lang w:eastAsia="en-GB"/>
              </w:rPr>
              <w:t>0.00</w:t>
            </w:r>
          </w:p>
        </w:tc>
      </w:tr>
      <w:tr w:rsidR="001A27A4" w:rsidRPr="001A27A4" w:rsidTr="001A27A4">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A27A4" w:rsidRPr="001A27A4" w:rsidRDefault="001A27A4" w:rsidP="001A27A4">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p>
        </w:tc>
        <w:tc>
          <w:tcPr>
            <w:tcW w:w="2640" w:type="dxa"/>
            <w:tcBorders>
              <w:top w:val="nil"/>
              <w:left w:val="nil"/>
              <w:bottom w:val="single" w:sz="4" w:space="0" w:color="auto"/>
              <w:right w:val="single" w:sz="4" w:space="0" w:color="auto"/>
            </w:tcBorders>
            <w:shd w:val="clear" w:color="000000" w:fill="BFBFBF"/>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xml:space="preserve">Total </w:t>
            </w:r>
          </w:p>
        </w:tc>
        <w:tc>
          <w:tcPr>
            <w:tcW w:w="118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1A27A4">
            <w:pPr>
              <w:spacing w:after="0" w:line="240" w:lineRule="auto"/>
              <w:jc w:val="right"/>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59.08</w:t>
            </w:r>
          </w:p>
        </w:tc>
        <w:tc>
          <w:tcPr>
            <w:tcW w:w="138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0315D3" w:rsidRPr="00114A5A">
              <w:rPr>
                <w:rFonts w:ascii="Calibri" w:eastAsia="Times New Roman" w:hAnsi="Calibri" w:cs="Times New Roman"/>
                <w:b/>
                <w:bCs/>
                <w:color w:val="000000"/>
                <w:lang w:eastAsia="en-GB"/>
              </w:rPr>
              <w:t>6.94</w:t>
            </w:r>
          </w:p>
        </w:tc>
        <w:tc>
          <w:tcPr>
            <w:tcW w:w="166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745BFC">
              <w:rPr>
                <w:rFonts w:ascii="Calibri" w:eastAsia="Times New Roman" w:hAnsi="Calibri" w:cs="Times New Roman"/>
                <w:b/>
                <w:bCs/>
                <w:color w:val="000000"/>
                <w:lang w:eastAsia="en-GB"/>
              </w:rPr>
              <w:t>9.67</w:t>
            </w:r>
          </w:p>
        </w:tc>
        <w:tc>
          <w:tcPr>
            <w:tcW w:w="1420" w:type="dxa"/>
            <w:tcBorders>
              <w:top w:val="nil"/>
              <w:left w:val="nil"/>
              <w:bottom w:val="single" w:sz="4" w:space="0" w:color="auto"/>
              <w:right w:val="single" w:sz="4" w:space="0" w:color="auto"/>
            </w:tcBorders>
            <w:shd w:val="clear" w:color="000000" w:fill="BFBFBF"/>
            <w:noWrap/>
            <w:vAlign w:val="bottom"/>
            <w:hideMark/>
          </w:tcPr>
          <w:p w:rsidR="001A27A4" w:rsidRPr="001A27A4" w:rsidRDefault="001A27A4" w:rsidP="001A27A4">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w:t>
            </w:r>
            <w:r w:rsidR="000315D3">
              <w:rPr>
                <w:rFonts w:ascii="Calibri" w:eastAsia="Times New Roman" w:hAnsi="Calibri" w:cs="Times New Roman"/>
                <w:b/>
                <w:bCs/>
                <w:color w:val="000000"/>
                <w:lang w:eastAsia="en-GB"/>
              </w:rPr>
              <w:t>42.09 [</w:t>
            </w:r>
            <w:r w:rsidR="000315D3" w:rsidRPr="00114A5A">
              <w:rPr>
                <w:rFonts w:ascii="Calibri" w:eastAsia="Times New Roman" w:hAnsi="Calibri" w:cs="Times New Roman"/>
                <w:b/>
                <w:bCs/>
                <w:color w:val="000000"/>
                <w:lang w:eastAsia="en-GB"/>
              </w:rPr>
              <w:t>0.38</w:t>
            </w:r>
            <w:r w:rsidR="00745BFC">
              <w:rPr>
                <w:rFonts w:ascii="Calibri" w:eastAsia="Times New Roman" w:hAnsi="Calibri" w:cs="Times New Roman"/>
                <w:b/>
                <w:bCs/>
                <w:color w:val="000000"/>
                <w:lang w:eastAsia="en-GB"/>
              </w:rPr>
              <w:t>]</w:t>
            </w:r>
          </w:p>
        </w:tc>
      </w:tr>
    </w:tbl>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352E1" w:rsidRPr="008352E1" w:rsidRDefault="008352E1" w:rsidP="008352E1">
      <w:pPr>
        <w:autoSpaceDE w:val="0"/>
        <w:autoSpaceDN w:val="0"/>
        <w:adjustRightInd w:val="0"/>
        <w:spacing w:after="0" w:line="240" w:lineRule="auto"/>
        <w:rPr>
          <w:rFonts w:ascii="Arial" w:hAnsi="Arial" w:cs="Arial"/>
          <w:bCs/>
          <w:sz w:val="18"/>
          <w:szCs w:val="18"/>
        </w:rPr>
      </w:pPr>
      <w:r>
        <w:rPr>
          <w:rFonts w:ascii="Arial" w:hAnsi="Arial" w:cs="Arial"/>
          <w:bCs/>
          <w:sz w:val="18"/>
          <w:szCs w:val="18"/>
        </w:rPr>
        <w:t>*</w:t>
      </w:r>
      <w:r w:rsidRPr="008352E1">
        <w:rPr>
          <w:rFonts w:ascii="Arial" w:hAnsi="Arial" w:cs="Arial"/>
          <w:bCs/>
          <w:sz w:val="18"/>
          <w:szCs w:val="18"/>
        </w:rPr>
        <w:t>Site located</w:t>
      </w:r>
      <w:r>
        <w:rPr>
          <w:rFonts w:ascii="Arial" w:hAnsi="Arial" w:cs="Arial"/>
          <w:bCs/>
          <w:sz w:val="18"/>
          <w:szCs w:val="18"/>
        </w:rPr>
        <w:t xml:space="preserve"> outside the settlement limit for Downpatrick, forms part of countryside proposals within </w:t>
      </w:r>
      <w:r w:rsidR="009333AF">
        <w:rPr>
          <w:rFonts w:ascii="Arial" w:hAnsi="Arial" w:cs="Arial"/>
          <w:bCs/>
          <w:sz w:val="18"/>
          <w:szCs w:val="18"/>
        </w:rPr>
        <w:t xml:space="preserve">the </w:t>
      </w:r>
      <w:r>
        <w:rPr>
          <w:rFonts w:ascii="Arial" w:hAnsi="Arial" w:cs="Arial"/>
          <w:bCs/>
          <w:sz w:val="18"/>
          <w:szCs w:val="18"/>
        </w:rPr>
        <w:t>ADAP.</w:t>
      </w:r>
    </w:p>
    <w:p w:rsidR="00894418" w:rsidRPr="008352E1" w:rsidRDefault="00894418" w:rsidP="000F346A">
      <w:pPr>
        <w:autoSpaceDE w:val="0"/>
        <w:autoSpaceDN w:val="0"/>
        <w:adjustRightInd w:val="0"/>
        <w:spacing w:after="0" w:line="240" w:lineRule="auto"/>
        <w:rPr>
          <w:rFonts w:ascii="Arial" w:hAnsi="Arial" w:cs="Arial"/>
          <w:b/>
          <w:bCs/>
          <w:sz w:val="18"/>
          <w:szCs w:val="18"/>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894418" w:rsidRDefault="00894418" w:rsidP="000F346A">
      <w:pPr>
        <w:autoSpaceDE w:val="0"/>
        <w:autoSpaceDN w:val="0"/>
        <w:adjustRightInd w:val="0"/>
        <w:spacing w:after="0" w:line="240" w:lineRule="auto"/>
        <w:rPr>
          <w:rFonts w:ascii="Arial" w:hAnsi="Arial" w:cs="Arial"/>
          <w:b/>
          <w:bCs/>
          <w:sz w:val="24"/>
          <w:szCs w:val="24"/>
        </w:rPr>
      </w:pPr>
    </w:p>
    <w:p w:rsidR="002315B3" w:rsidRDefault="00521F09" w:rsidP="002315B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Appendix E </w:t>
      </w:r>
      <w:proofErr w:type="gramStart"/>
      <w:r>
        <w:rPr>
          <w:rFonts w:ascii="Arial" w:hAnsi="Arial" w:cs="Arial"/>
          <w:b/>
          <w:bCs/>
          <w:sz w:val="24"/>
          <w:szCs w:val="24"/>
        </w:rPr>
        <w:t>Down</w:t>
      </w:r>
      <w:proofErr w:type="gramEnd"/>
      <w:r>
        <w:rPr>
          <w:rFonts w:ascii="Arial" w:hAnsi="Arial" w:cs="Arial"/>
          <w:b/>
          <w:bCs/>
          <w:sz w:val="24"/>
          <w:szCs w:val="24"/>
        </w:rPr>
        <w:t xml:space="preserve"> District Industrial Policy Areas</w:t>
      </w:r>
    </w:p>
    <w:p w:rsidR="00521F09" w:rsidRDefault="00521F09" w:rsidP="002315B3">
      <w:pPr>
        <w:autoSpaceDE w:val="0"/>
        <w:autoSpaceDN w:val="0"/>
        <w:adjustRightInd w:val="0"/>
        <w:spacing w:after="0" w:line="240" w:lineRule="auto"/>
        <w:rPr>
          <w:rFonts w:ascii="Arial" w:hAnsi="Arial" w:cs="Arial"/>
          <w:b/>
          <w:bCs/>
          <w:sz w:val="24"/>
          <w:szCs w:val="24"/>
        </w:rPr>
      </w:pPr>
    </w:p>
    <w:tbl>
      <w:tblPr>
        <w:tblpPr w:leftFromText="180" w:rightFromText="180" w:vertAnchor="text" w:tblpXSpec="center" w:tblpY="1"/>
        <w:tblOverlap w:val="never"/>
        <w:tblW w:w="10221" w:type="dxa"/>
        <w:jc w:val="center"/>
        <w:tblLook w:val="04A0" w:firstRow="1" w:lastRow="0" w:firstColumn="1" w:lastColumn="0" w:noHBand="0" w:noVBand="1"/>
      </w:tblPr>
      <w:tblGrid>
        <w:gridCol w:w="1447"/>
        <w:gridCol w:w="2573"/>
        <w:gridCol w:w="1180"/>
        <w:gridCol w:w="5021"/>
      </w:tblGrid>
      <w:tr w:rsidR="00A236F8" w:rsidRPr="001A27A4" w:rsidTr="00A236F8">
        <w:trPr>
          <w:trHeight w:val="433"/>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A236F8" w:rsidRPr="001A27A4" w:rsidRDefault="00A236F8" w:rsidP="00A236F8">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Settlement</w:t>
            </w:r>
          </w:p>
        </w:tc>
        <w:tc>
          <w:tcPr>
            <w:tcW w:w="2600" w:type="dxa"/>
            <w:tcBorders>
              <w:top w:val="single" w:sz="4" w:space="0" w:color="auto"/>
              <w:left w:val="nil"/>
              <w:bottom w:val="single" w:sz="4" w:space="0" w:color="auto"/>
              <w:right w:val="single" w:sz="4" w:space="0" w:color="auto"/>
            </w:tcBorders>
            <w:shd w:val="clear" w:color="000000" w:fill="BFBFBF"/>
            <w:hideMark/>
          </w:tcPr>
          <w:p w:rsidR="00A236F8" w:rsidRDefault="00A236F8" w:rsidP="00A236F8">
            <w:pPr>
              <w:spacing w:after="0" w:line="240" w:lineRule="auto"/>
              <w:rPr>
                <w:rFonts w:ascii="Calibri" w:eastAsia="Times New Roman" w:hAnsi="Calibri" w:cs="Times New Roman"/>
                <w:b/>
                <w:bCs/>
                <w:color w:val="000000"/>
                <w:lang w:eastAsia="en-GB"/>
              </w:rPr>
            </w:pPr>
          </w:p>
          <w:p w:rsidR="00A236F8" w:rsidRPr="001A27A4" w:rsidRDefault="00A236F8" w:rsidP="00A236F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Location (</w:t>
            </w:r>
            <w:r w:rsidRPr="001A27A4">
              <w:rPr>
                <w:rFonts w:ascii="Calibri" w:eastAsia="Times New Roman" w:hAnsi="Calibri" w:cs="Times New Roman"/>
                <w:b/>
                <w:bCs/>
                <w:color w:val="000000"/>
                <w:lang w:eastAsia="en-GB"/>
              </w:rPr>
              <w:t xml:space="preserve"> Ref)</w:t>
            </w:r>
          </w:p>
        </w:tc>
        <w:tc>
          <w:tcPr>
            <w:tcW w:w="1180" w:type="dxa"/>
            <w:tcBorders>
              <w:top w:val="single" w:sz="4" w:space="0" w:color="auto"/>
              <w:left w:val="nil"/>
              <w:bottom w:val="single" w:sz="4" w:space="0" w:color="auto"/>
              <w:right w:val="single" w:sz="4" w:space="0" w:color="auto"/>
            </w:tcBorders>
            <w:shd w:val="clear" w:color="000000" w:fill="BFBFBF"/>
            <w:vAlign w:val="bottom"/>
            <w:hideMark/>
          </w:tcPr>
          <w:p w:rsidR="00A236F8" w:rsidRPr="001A27A4" w:rsidRDefault="00A236F8" w:rsidP="00A236F8">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xml:space="preserve">Area </w:t>
            </w:r>
            <w:r>
              <w:rPr>
                <w:rFonts w:ascii="Calibri" w:eastAsia="Times New Roman" w:hAnsi="Calibri" w:cs="Times New Roman"/>
                <w:b/>
                <w:bCs/>
                <w:color w:val="000000"/>
                <w:lang w:eastAsia="en-GB"/>
              </w:rPr>
              <w:t>(Ha)</w:t>
            </w:r>
          </w:p>
        </w:tc>
        <w:tc>
          <w:tcPr>
            <w:tcW w:w="5021" w:type="dxa"/>
            <w:tcBorders>
              <w:top w:val="single" w:sz="4" w:space="0" w:color="auto"/>
              <w:left w:val="nil"/>
              <w:bottom w:val="single" w:sz="4" w:space="0" w:color="auto"/>
              <w:right w:val="single" w:sz="4" w:space="0" w:color="auto"/>
            </w:tcBorders>
            <w:shd w:val="clear" w:color="000000" w:fill="BFBFBF"/>
            <w:vAlign w:val="bottom"/>
          </w:tcPr>
          <w:p w:rsidR="00A236F8" w:rsidRPr="001A27A4" w:rsidRDefault="00A236F8" w:rsidP="00A236F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Additional Info.</w:t>
            </w:r>
          </w:p>
        </w:tc>
      </w:tr>
      <w:tr w:rsidR="00A236F8" w:rsidRPr="001A27A4" w:rsidTr="00A236F8">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tcPr>
          <w:p w:rsidR="00A236F8" w:rsidRDefault="00A236F8" w:rsidP="00A236F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Village</w:t>
            </w:r>
          </w:p>
        </w:tc>
        <w:tc>
          <w:tcPr>
            <w:tcW w:w="2600" w:type="dxa"/>
            <w:tcBorders>
              <w:top w:val="nil"/>
              <w:left w:val="nil"/>
              <w:bottom w:val="single" w:sz="4" w:space="0" w:color="auto"/>
              <w:right w:val="single" w:sz="4" w:space="0" w:color="auto"/>
            </w:tcBorders>
            <w:shd w:val="clear" w:color="auto" w:fill="auto"/>
          </w:tcPr>
          <w:p w:rsidR="00A236F8" w:rsidRPr="001A27A4" w:rsidRDefault="00A236F8" w:rsidP="00A236F8">
            <w:pPr>
              <w:spacing w:after="0" w:line="240" w:lineRule="auto"/>
              <w:rPr>
                <w:rFonts w:ascii="Calibri" w:eastAsia="Times New Roman" w:hAnsi="Calibri" w:cs="Times New Roman"/>
                <w:color w:val="000000"/>
                <w:lang w:eastAsia="en-GB"/>
              </w:rPr>
            </w:pPr>
          </w:p>
        </w:tc>
        <w:tc>
          <w:tcPr>
            <w:tcW w:w="1180" w:type="dxa"/>
            <w:tcBorders>
              <w:top w:val="nil"/>
              <w:left w:val="nil"/>
              <w:bottom w:val="single" w:sz="4" w:space="0" w:color="auto"/>
              <w:right w:val="single" w:sz="4" w:space="0" w:color="auto"/>
            </w:tcBorders>
            <w:shd w:val="clear" w:color="auto" w:fill="auto"/>
            <w:noWrap/>
            <w:vAlign w:val="bottom"/>
          </w:tcPr>
          <w:p w:rsidR="00A236F8" w:rsidRPr="001A27A4" w:rsidRDefault="00A236F8" w:rsidP="00A236F8">
            <w:pPr>
              <w:spacing w:after="0" w:line="240" w:lineRule="auto"/>
              <w:jc w:val="right"/>
              <w:rPr>
                <w:rFonts w:ascii="Calibri" w:eastAsia="Times New Roman" w:hAnsi="Calibri" w:cs="Times New Roman"/>
                <w:color w:val="000000"/>
                <w:lang w:eastAsia="en-GB"/>
              </w:rPr>
            </w:pPr>
          </w:p>
        </w:tc>
        <w:tc>
          <w:tcPr>
            <w:tcW w:w="5021" w:type="dxa"/>
            <w:tcBorders>
              <w:top w:val="nil"/>
              <w:left w:val="nil"/>
              <w:bottom w:val="single" w:sz="4" w:space="0" w:color="auto"/>
              <w:right w:val="single" w:sz="4" w:space="0" w:color="auto"/>
            </w:tcBorders>
            <w:shd w:val="clear" w:color="auto" w:fill="auto"/>
            <w:noWrap/>
            <w:vAlign w:val="bottom"/>
          </w:tcPr>
          <w:p w:rsidR="00A236F8" w:rsidRPr="00565B45" w:rsidRDefault="00A236F8" w:rsidP="00A236F8">
            <w:pPr>
              <w:spacing w:after="0" w:line="240" w:lineRule="auto"/>
              <w:rPr>
                <w:rFonts w:ascii="Calibri" w:eastAsia="Times New Roman" w:hAnsi="Calibri" w:cs="Times New Roman"/>
                <w:lang w:eastAsia="en-GB"/>
              </w:rPr>
            </w:pPr>
          </w:p>
        </w:tc>
      </w:tr>
      <w:tr w:rsidR="00A236F8" w:rsidRPr="001A27A4" w:rsidTr="00521F09">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hideMark/>
          </w:tcPr>
          <w:p w:rsidR="00A236F8" w:rsidRPr="008352E1" w:rsidRDefault="00A236F8" w:rsidP="00A236F8">
            <w:pPr>
              <w:spacing w:after="0" w:line="240" w:lineRule="auto"/>
              <w:rPr>
                <w:rFonts w:ascii="Calibri" w:eastAsia="Times New Roman" w:hAnsi="Calibri" w:cs="Times New Roman"/>
                <w:b/>
                <w:bCs/>
                <w:color w:val="000000"/>
                <w:lang w:eastAsia="en-GB"/>
              </w:rPr>
            </w:pPr>
            <w:proofErr w:type="spellStart"/>
            <w:r w:rsidRPr="008352E1">
              <w:rPr>
                <w:rFonts w:ascii="Calibri" w:eastAsia="Times New Roman" w:hAnsi="Calibri" w:cs="Times New Roman"/>
                <w:b/>
                <w:bCs/>
                <w:color w:val="000000"/>
                <w:lang w:eastAsia="en-GB"/>
              </w:rPr>
              <w:t>Annsborough</w:t>
            </w:r>
            <w:proofErr w:type="spellEnd"/>
            <w:r w:rsidRPr="008352E1">
              <w:rPr>
                <w:rFonts w:ascii="Calibri" w:eastAsia="Times New Roman" w:hAnsi="Calibri" w:cs="Times New Roman"/>
                <w:b/>
                <w:bCs/>
                <w:color w:val="000000"/>
                <w:lang w:eastAsia="en-GB"/>
              </w:rPr>
              <w:t xml:space="preserve"> </w:t>
            </w:r>
          </w:p>
        </w:tc>
        <w:tc>
          <w:tcPr>
            <w:tcW w:w="2600" w:type="dxa"/>
            <w:tcBorders>
              <w:top w:val="nil"/>
              <w:left w:val="nil"/>
              <w:bottom w:val="single" w:sz="4" w:space="0" w:color="auto"/>
              <w:right w:val="single" w:sz="4" w:space="0" w:color="auto"/>
            </w:tcBorders>
            <w:shd w:val="clear" w:color="auto" w:fill="auto"/>
            <w:hideMark/>
          </w:tcPr>
          <w:p w:rsidR="00A236F8" w:rsidRPr="001A27A4" w:rsidRDefault="00A236F8" w:rsidP="00A236F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Former Textile Mill (IPA/HPA1)</w:t>
            </w:r>
          </w:p>
        </w:tc>
        <w:tc>
          <w:tcPr>
            <w:tcW w:w="1180" w:type="dxa"/>
            <w:tcBorders>
              <w:top w:val="nil"/>
              <w:left w:val="nil"/>
              <w:bottom w:val="single" w:sz="4" w:space="0" w:color="auto"/>
              <w:right w:val="single" w:sz="4" w:space="0" w:color="auto"/>
            </w:tcBorders>
            <w:shd w:val="clear" w:color="auto" w:fill="auto"/>
            <w:noWrap/>
            <w:hideMark/>
          </w:tcPr>
          <w:p w:rsidR="00A236F8" w:rsidRPr="001A27A4" w:rsidRDefault="00A236F8" w:rsidP="00521F0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521F09" w:rsidRPr="00521F09">
              <w:rPr>
                <w:rFonts w:ascii="Calibri" w:eastAsia="Times New Roman" w:hAnsi="Calibri" w:cs="Times New Roman"/>
                <w:color w:val="000000"/>
                <w:lang w:eastAsia="en-GB"/>
              </w:rPr>
              <w:t>4.47</w:t>
            </w:r>
            <w:r>
              <w:rPr>
                <w:rFonts w:ascii="Calibri" w:eastAsia="Times New Roman" w:hAnsi="Calibri" w:cs="Times New Roman"/>
                <w:color w:val="000000"/>
                <w:lang w:eastAsia="en-GB"/>
              </w:rPr>
              <w:t xml:space="preserve">      </w:t>
            </w:r>
            <w:r w:rsidR="00521F09">
              <w:rPr>
                <w:rFonts w:ascii="Calibri" w:eastAsia="Times New Roman" w:hAnsi="Calibri" w:cs="Times New Roman"/>
                <w:color w:val="000000"/>
                <w:lang w:eastAsia="en-GB"/>
              </w:rPr>
              <w:t xml:space="preserve">                             </w:t>
            </w:r>
          </w:p>
        </w:tc>
        <w:tc>
          <w:tcPr>
            <w:tcW w:w="5021" w:type="dxa"/>
            <w:tcBorders>
              <w:top w:val="nil"/>
              <w:left w:val="nil"/>
              <w:bottom w:val="single" w:sz="4" w:space="0" w:color="auto"/>
              <w:right w:val="single" w:sz="4" w:space="0" w:color="auto"/>
            </w:tcBorders>
            <w:shd w:val="clear" w:color="auto" w:fill="auto"/>
            <w:noWrap/>
          </w:tcPr>
          <w:p w:rsidR="00A236F8" w:rsidRPr="00565B45" w:rsidRDefault="00A236F8" w:rsidP="00A236F8">
            <w:pPr>
              <w:spacing w:after="0" w:line="240" w:lineRule="auto"/>
              <w:rPr>
                <w:rFonts w:ascii="Calibri" w:eastAsia="Times New Roman" w:hAnsi="Calibri" w:cs="Times New Roman"/>
                <w:lang w:eastAsia="en-GB"/>
              </w:rPr>
            </w:pPr>
            <w:r>
              <w:rPr>
                <w:rFonts w:ascii="Calibri" w:eastAsia="Times New Roman" w:hAnsi="Calibri" w:cs="Times New Roman"/>
                <w:lang w:eastAsia="en-GB"/>
              </w:rPr>
              <w:t>Mix of light industry and housing within the former mill. Former engineering works and disus</w:t>
            </w:r>
            <w:r w:rsidR="00521F09">
              <w:rPr>
                <w:rFonts w:ascii="Calibri" w:eastAsia="Times New Roman" w:hAnsi="Calibri" w:cs="Times New Roman"/>
                <w:lang w:eastAsia="en-GB"/>
              </w:rPr>
              <w:t>ed factory to the north of the m</w:t>
            </w:r>
            <w:r>
              <w:rPr>
                <w:rFonts w:ascii="Calibri" w:eastAsia="Times New Roman" w:hAnsi="Calibri" w:cs="Times New Roman"/>
                <w:lang w:eastAsia="en-GB"/>
              </w:rPr>
              <w:t>ill complex suitable for industry only.</w:t>
            </w:r>
          </w:p>
        </w:tc>
      </w:tr>
      <w:tr w:rsidR="00A236F8" w:rsidRPr="001A27A4" w:rsidTr="00CA7DAA">
        <w:trPr>
          <w:trHeight w:val="600"/>
          <w:jc w:val="center"/>
        </w:trPr>
        <w:tc>
          <w:tcPr>
            <w:tcW w:w="1420" w:type="dxa"/>
            <w:tcBorders>
              <w:top w:val="nil"/>
              <w:left w:val="single" w:sz="4" w:space="0" w:color="auto"/>
              <w:bottom w:val="nil"/>
              <w:right w:val="single" w:sz="4" w:space="0" w:color="auto"/>
            </w:tcBorders>
            <w:shd w:val="clear" w:color="000000" w:fill="BFBFBF"/>
            <w:hideMark/>
          </w:tcPr>
          <w:p w:rsidR="00A236F8" w:rsidRPr="008352E1" w:rsidRDefault="00A236F8" w:rsidP="00A236F8">
            <w:pPr>
              <w:spacing w:after="0" w:line="240" w:lineRule="auto"/>
              <w:rPr>
                <w:rFonts w:ascii="Calibri" w:eastAsia="Times New Roman" w:hAnsi="Calibri" w:cs="Times New Roman"/>
                <w:b/>
                <w:bCs/>
                <w:color w:val="000000"/>
                <w:lang w:eastAsia="en-GB"/>
              </w:rPr>
            </w:pPr>
            <w:proofErr w:type="spellStart"/>
            <w:r w:rsidRPr="008352E1">
              <w:rPr>
                <w:rFonts w:ascii="Calibri" w:eastAsia="Times New Roman" w:hAnsi="Calibri" w:cs="Times New Roman"/>
                <w:b/>
                <w:bCs/>
                <w:color w:val="000000"/>
                <w:lang w:eastAsia="en-GB"/>
              </w:rPr>
              <w:t>Ardglass</w:t>
            </w:r>
            <w:proofErr w:type="spellEnd"/>
          </w:p>
        </w:tc>
        <w:tc>
          <w:tcPr>
            <w:tcW w:w="2600" w:type="dxa"/>
            <w:tcBorders>
              <w:top w:val="nil"/>
              <w:left w:val="nil"/>
              <w:bottom w:val="single" w:sz="4" w:space="0" w:color="auto"/>
              <w:right w:val="single" w:sz="4" w:space="0" w:color="auto"/>
            </w:tcBorders>
            <w:shd w:val="clear" w:color="auto" w:fill="auto"/>
            <w:hideMark/>
          </w:tcPr>
          <w:p w:rsidR="00A236F8" w:rsidRPr="001A27A4" w:rsidRDefault="00A236F8" w:rsidP="00A236F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Lands at Downpatrick Rd (IPA1)</w:t>
            </w:r>
          </w:p>
        </w:tc>
        <w:tc>
          <w:tcPr>
            <w:tcW w:w="1180" w:type="dxa"/>
            <w:tcBorders>
              <w:top w:val="nil"/>
              <w:left w:val="nil"/>
              <w:bottom w:val="single" w:sz="4" w:space="0" w:color="auto"/>
              <w:right w:val="single" w:sz="4" w:space="0" w:color="auto"/>
            </w:tcBorders>
            <w:shd w:val="clear" w:color="auto" w:fill="auto"/>
            <w:noWrap/>
            <w:hideMark/>
          </w:tcPr>
          <w:p w:rsidR="00A236F8" w:rsidRPr="001A27A4" w:rsidRDefault="00A236F8" w:rsidP="00A236F8">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2.09</w:t>
            </w:r>
          </w:p>
        </w:tc>
        <w:tc>
          <w:tcPr>
            <w:tcW w:w="5021" w:type="dxa"/>
            <w:tcBorders>
              <w:top w:val="nil"/>
              <w:left w:val="nil"/>
              <w:bottom w:val="single" w:sz="4" w:space="0" w:color="auto"/>
              <w:right w:val="single" w:sz="4" w:space="0" w:color="auto"/>
            </w:tcBorders>
            <w:shd w:val="clear" w:color="auto" w:fill="auto"/>
            <w:noWrap/>
          </w:tcPr>
          <w:p w:rsidR="00A236F8" w:rsidRPr="00565B45" w:rsidRDefault="00521F09" w:rsidP="00A236F8">
            <w:pPr>
              <w:spacing w:after="0" w:line="240" w:lineRule="auto"/>
              <w:rPr>
                <w:rFonts w:ascii="Calibri" w:eastAsia="Times New Roman" w:hAnsi="Calibri" w:cs="Times New Roman"/>
                <w:lang w:eastAsia="en-GB"/>
              </w:rPr>
            </w:pPr>
            <w:r w:rsidRPr="00521F09">
              <w:rPr>
                <w:rFonts w:ascii="Calibri" w:eastAsia="Times New Roman" w:hAnsi="Calibri" w:cs="Times New Roman"/>
                <w:lang w:eastAsia="en-GB"/>
              </w:rPr>
              <w:t>Entire site to be used for industrial use and no other purpose.</w:t>
            </w:r>
          </w:p>
        </w:tc>
      </w:tr>
      <w:tr w:rsidR="00A236F8" w:rsidRPr="001A27A4" w:rsidTr="00CA7DAA">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tcPr>
          <w:p w:rsidR="00A236F8" w:rsidRPr="008352E1" w:rsidRDefault="00A236F8" w:rsidP="00A236F8">
            <w:pPr>
              <w:spacing w:after="0" w:line="240" w:lineRule="auto"/>
              <w:rPr>
                <w:rFonts w:ascii="Calibri" w:eastAsia="Times New Roman" w:hAnsi="Calibri" w:cs="Times New Roman"/>
                <w:b/>
                <w:color w:val="000000"/>
                <w:lang w:eastAsia="en-GB"/>
              </w:rPr>
            </w:pPr>
            <w:proofErr w:type="spellStart"/>
            <w:r w:rsidRPr="008352E1">
              <w:rPr>
                <w:rFonts w:ascii="Calibri" w:eastAsia="Times New Roman" w:hAnsi="Calibri" w:cs="Times New Roman"/>
                <w:b/>
                <w:color w:val="000000"/>
                <w:lang w:eastAsia="en-GB"/>
              </w:rPr>
              <w:t>Crossgar</w:t>
            </w:r>
            <w:proofErr w:type="spellEnd"/>
          </w:p>
        </w:tc>
        <w:tc>
          <w:tcPr>
            <w:tcW w:w="2600" w:type="dxa"/>
            <w:tcBorders>
              <w:top w:val="nil"/>
              <w:left w:val="nil"/>
              <w:bottom w:val="single" w:sz="4" w:space="0" w:color="auto"/>
              <w:right w:val="single" w:sz="4" w:space="0" w:color="auto"/>
            </w:tcBorders>
            <w:shd w:val="clear" w:color="auto" w:fill="FFFFFF" w:themeFill="background1"/>
          </w:tcPr>
          <w:p w:rsidR="00A236F8" w:rsidRPr="00A236F8" w:rsidRDefault="00A236F8" w:rsidP="00A236F8">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Lands at </w:t>
            </w:r>
            <w:proofErr w:type="spellStart"/>
            <w:r>
              <w:rPr>
                <w:rFonts w:ascii="Calibri" w:eastAsia="Times New Roman" w:hAnsi="Calibri" w:cs="Times New Roman"/>
                <w:bCs/>
                <w:color w:val="000000"/>
                <w:lang w:eastAsia="en-GB"/>
              </w:rPr>
              <w:t>Kilmore</w:t>
            </w:r>
            <w:proofErr w:type="spellEnd"/>
            <w:r>
              <w:rPr>
                <w:rFonts w:ascii="Calibri" w:eastAsia="Times New Roman" w:hAnsi="Calibri" w:cs="Times New Roman"/>
                <w:bCs/>
                <w:color w:val="000000"/>
                <w:lang w:eastAsia="en-GB"/>
              </w:rPr>
              <w:t xml:space="preserve"> Rd (IPA1)</w:t>
            </w:r>
          </w:p>
        </w:tc>
        <w:tc>
          <w:tcPr>
            <w:tcW w:w="1180" w:type="dxa"/>
            <w:tcBorders>
              <w:top w:val="nil"/>
              <w:left w:val="nil"/>
              <w:bottom w:val="single" w:sz="4" w:space="0" w:color="auto"/>
              <w:right w:val="single" w:sz="4" w:space="0" w:color="auto"/>
            </w:tcBorders>
            <w:shd w:val="clear" w:color="auto" w:fill="FFFFFF" w:themeFill="background1"/>
            <w:noWrap/>
          </w:tcPr>
          <w:p w:rsidR="00A236F8" w:rsidRPr="00A236F8" w:rsidRDefault="00A236F8" w:rsidP="00A236F8">
            <w:pPr>
              <w:spacing w:after="0" w:line="240" w:lineRule="auto"/>
              <w:jc w:val="right"/>
              <w:rPr>
                <w:rFonts w:ascii="Calibri" w:eastAsia="Times New Roman" w:hAnsi="Calibri" w:cs="Times New Roman"/>
                <w:bCs/>
                <w:color w:val="000000"/>
                <w:lang w:eastAsia="en-GB"/>
              </w:rPr>
            </w:pPr>
            <w:r w:rsidRPr="00A236F8">
              <w:rPr>
                <w:rFonts w:ascii="Calibri" w:eastAsia="Times New Roman" w:hAnsi="Calibri" w:cs="Times New Roman"/>
                <w:bCs/>
                <w:color w:val="000000"/>
                <w:lang w:eastAsia="en-GB"/>
              </w:rPr>
              <w:t>0.4</w:t>
            </w:r>
          </w:p>
        </w:tc>
        <w:tc>
          <w:tcPr>
            <w:tcW w:w="5021" w:type="dxa"/>
            <w:tcBorders>
              <w:top w:val="nil"/>
              <w:left w:val="nil"/>
              <w:bottom w:val="single" w:sz="4" w:space="0" w:color="auto"/>
              <w:right w:val="single" w:sz="4" w:space="0" w:color="auto"/>
            </w:tcBorders>
            <w:shd w:val="clear" w:color="auto" w:fill="FFFFFF" w:themeFill="background1"/>
            <w:noWrap/>
          </w:tcPr>
          <w:p w:rsidR="00A236F8" w:rsidRPr="00521F09" w:rsidRDefault="00521F09" w:rsidP="00A236F8">
            <w:pPr>
              <w:spacing w:after="0" w:line="240" w:lineRule="auto"/>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Entire site to be used for light industrial use.</w:t>
            </w:r>
          </w:p>
        </w:tc>
      </w:tr>
      <w:tr w:rsidR="00A236F8" w:rsidRPr="001A27A4" w:rsidTr="00CA7DAA">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tcPr>
          <w:p w:rsidR="00A236F8" w:rsidRPr="008352E1" w:rsidRDefault="00A236F8" w:rsidP="00A236F8">
            <w:pPr>
              <w:spacing w:after="0" w:line="240" w:lineRule="auto"/>
              <w:rPr>
                <w:rFonts w:ascii="Calibri" w:eastAsia="Times New Roman" w:hAnsi="Calibri" w:cs="Times New Roman"/>
                <w:b/>
                <w:color w:val="000000"/>
                <w:lang w:eastAsia="en-GB"/>
              </w:rPr>
            </w:pPr>
          </w:p>
        </w:tc>
        <w:tc>
          <w:tcPr>
            <w:tcW w:w="2600" w:type="dxa"/>
            <w:tcBorders>
              <w:top w:val="nil"/>
              <w:left w:val="nil"/>
              <w:bottom w:val="single" w:sz="4" w:space="0" w:color="auto"/>
              <w:right w:val="single" w:sz="4" w:space="0" w:color="auto"/>
            </w:tcBorders>
            <w:shd w:val="clear" w:color="auto" w:fill="FFFFFF" w:themeFill="background1"/>
          </w:tcPr>
          <w:p w:rsidR="00A236F8" w:rsidRPr="00A236F8" w:rsidRDefault="00A236F8" w:rsidP="00A236F8">
            <w:pPr>
              <w:spacing w:after="0" w:line="240" w:lineRule="auto"/>
              <w:rPr>
                <w:rFonts w:ascii="Calibri" w:eastAsia="Times New Roman" w:hAnsi="Calibri" w:cs="Times New Roman"/>
                <w:bCs/>
                <w:color w:val="000000"/>
                <w:lang w:eastAsia="en-GB"/>
              </w:rPr>
            </w:pPr>
            <w:proofErr w:type="spellStart"/>
            <w:r>
              <w:rPr>
                <w:rFonts w:ascii="Calibri" w:eastAsia="Times New Roman" w:hAnsi="Calibri" w:cs="Times New Roman"/>
                <w:bCs/>
                <w:color w:val="000000"/>
                <w:lang w:eastAsia="en-GB"/>
              </w:rPr>
              <w:t>Ballynahinch</w:t>
            </w:r>
            <w:proofErr w:type="spellEnd"/>
            <w:r>
              <w:rPr>
                <w:rFonts w:ascii="Calibri" w:eastAsia="Times New Roman" w:hAnsi="Calibri" w:cs="Times New Roman"/>
                <w:bCs/>
                <w:color w:val="000000"/>
                <w:lang w:eastAsia="en-GB"/>
              </w:rPr>
              <w:t xml:space="preserve"> Rd </w:t>
            </w:r>
            <w:r w:rsidRPr="00A236F8">
              <w:rPr>
                <w:rFonts w:ascii="Calibri" w:eastAsia="Times New Roman" w:hAnsi="Calibri" w:cs="Times New Roman"/>
                <w:bCs/>
                <w:color w:val="000000"/>
                <w:lang w:eastAsia="en-GB"/>
              </w:rPr>
              <w:t>(COU11)</w:t>
            </w:r>
            <w:r w:rsidR="008352E1">
              <w:rPr>
                <w:rFonts w:ascii="Calibri" w:eastAsia="Times New Roman" w:hAnsi="Calibri" w:cs="Times New Roman"/>
                <w:bCs/>
                <w:color w:val="000000"/>
                <w:lang w:eastAsia="en-GB"/>
              </w:rPr>
              <w:t>*</w:t>
            </w:r>
          </w:p>
        </w:tc>
        <w:tc>
          <w:tcPr>
            <w:tcW w:w="1180" w:type="dxa"/>
            <w:tcBorders>
              <w:top w:val="nil"/>
              <w:left w:val="nil"/>
              <w:bottom w:val="single" w:sz="4" w:space="0" w:color="auto"/>
              <w:right w:val="single" w:sz="4" w:space="0" w:color="auto"/>
            </w:tcBorders>
            <w:shd w:val="clear" w:color="auto" w:fill="FFFFFF" w:themeFill="background1"/>
            <w:noWrap/>
          </w:tcPr>
          <w:p w:rsidR="00A236F8" w:rsidRPr="00A236F8" w:rsidRDefault="008352E1" w:rsidP="00A236F8">
            <w:pPr>
              <w:spacing w:after="0" w:line="240" w:lineRule="auto"/>
              <w:jc w:val="right"/>
              <w:rPr>
                <w:rFonts w:ascii="Calibri" w:eastAsia="Times New Roman" w:hAnsi="Calibri" w:cs="Times New Roman"/>
                <w:bCs/>
                <w:color w:val="000000"/>
                <w:lang w:eastAsia="en-GB"/>
              </w:rPr>
            </w:pPr>
            <w:r>
              <w:rPr>
                <w:rFonts w:ascii="Calibri" w:eastAsia="Times New Roman" w:hAnsi="Calibri" w:cs="Times New Roman"/>
                <w:bCs/>
                <w:color w:val="000000"/>
                <w:lang w:eastAsia="en-GB"/>
              </w:rPr>
              <w:t>3.95</w:t>
            </w:r>
          </w:p>
        </w:tc>
        <w:tc>
          <w:tcPr>
            <w:tcW w:w="5021" w:type="dxa"/>
            <w:tcBorders>
              <w:top w:val="nil"/>
              <w:left w:val="nil"/>
              <w:bottom w:val="single" w:sz="4" w:space="0" w:color="auto"/>
              <w:right w:val="single" w:sz="4" w:space="0" w:color="auto"/>
            </w:tcBorders>
            <w:shd w:val="clear" w:color="auto" w:fill="FFFFFF" w:themeFill="background1"/>
            <w:noWrap/>
          </w:tcPr>
          <w:p w:rsidR="00A236F8" w:rsidRPr="00521F09" w:rsidRDefault="00C2459D" w:rsidP="00C2459D">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Former saw mill and egg packing store, entire site for </w:t>
            </w:r>
            <w:r w:rsidR="00521F09" w:rsidRPr="00521F09">
              <w:rPr>
                <w:rFonts w:ascii="Calibri" w:eastAsia="Times New Roman" w:hAnsi="Calibri" w:cs="Times New Roman"/>
                <w:bCs/>
                <w:color w:val="000000"/>
                <w:lang w:eastAsia="en-GB"/>
              </w:rPr>
              <w:t>general or light industrial use</w:t>
            </w:r>
          </w:p>
        </w:tc>
      </w:tr>
      <w:tr w:rsidR="00A236F8" w:rsidRPr="001A27A4" w:rsidTr="00CA7DAA">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tcPr>
          <w:p w:rsidR="00A236F8" w:rsidRPr="008352E1" w:rsidRDefault="00A236F8" w:rsidP="00A236F8">
            <w:pPr>
              <w:spacing w:after="0" w:line="240" w:lineRule="auto"/>
              <w:rPr>
                <w:rFonts w:ascii="Calibri" w:eastAsia="Times New Roman" w:hAnsi="Calibri" w:cs="Times New Roman"/>
                <w:b/>
                <w:color w:val="000000"/>
                <w:lang w:eastAsia="en-GB"/>
              </w:rPr>
            </w:pPr>
            <w:proofErr w:type="spellStart"/>
            <w:r w:rsidRPr="008352E1">
              <w:rPr>
                <w:rFonts w:ascii="Calibri" w:eastAsia="Times New Roman" w:hAnsi="Calibri" w:cs="Times New Roman"/>
                <w:b/>
                <w:color w:val="000000"/>
                <w:lang w:eastAsia="en-GB"/>
              </w:rPr>
              <w:t>Shrigley</w:t>
            </w:r>
            <w:proofErr w:type="spellEnd"/>
          </w:p>
        </w:tc>
        <w:tc>
          <w:tcPr>
            <w:tcW w:w="2600" w:type="dxa"/>
            <w:tcBorders>
              <w:top w:val="nil"/>
              <w:left w:val="nil"/>
              <w:bottom w:val="single" w:sz="4" w:space="0" w:color="auto"/>
              <w:right w:val="single" w:sz="4" w:space="0" w:color="auto"/>
            </w:tcBorders>
            <w:shd w:val="clear" w:color="auto" w:fill="FFFFFF" w:themeFill="background1"/>
          </w:tcPr>
          <w:p w:rsidR="00A236F8" w:rsidRPr="00521F09" w:rsidRDefault="00A236F8" w:rsidP="00A236F8">
            <w:pPr>
              <w:spacing w:after="0" w:line="240" w:lineRule="auto"/>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 xml:space="preserve">Lands east of </w:t>
            </w:r>
            <w:proofErr w:type="spellStart"/>
            <w:r w:rsidRPr="00521F09">
              <w:rPr>
                <w:rFonts w:ascii="Calibri" w:eastAsia="Times New Roman" w:hAnsi="Calibri" w:cs="Times New Roman"/>
                <w:bCs/>
                <w:color w:val="000000"/>
                <w:lang w:eastAsia="en-GB"/>
              </w:rPr>
              <w:t>Shrigley</w:t>
            </w:r>
            <w:proofErr w:type="spellEnd"/>
            <w:r w:rsidRPr="00521F09">
              <w:rPr>
                <w:rFonts w:ascii="Calibri" w:eastAsia="Times New Roman" w:hAnsi="Calibri" w:cs="Times New Roman"/>
                <w:bCs/>
                <w:color w:val="000000"/>
                <w:lang w:eastAsia="en-GB"/>
              </w:rPr>
              <w:t xml:space="preserve"> Rd</w:t>
            </w:r>
            <w:r w:rsidR="00CA7DAA">
              <w:rPr>
                <w:rFonts w:ascii="Calibri" w:eastAsia="Times New Roman" w:hAnsi="Calibri" w:cs="Times New Roman"/>
                <w:bCs/>
                <w:color w:val="000000"/>
                <w:lang w:eastAsia="en-GB"/>
              </w:rPr>
              <w:t xml:space="preserve"> (IPA1)</w:t>
            </w:r>
          </w:p>
        </w:tc>
        <w:tc>
          <w:tcPr>
            <w:tcW w:w="1180" w:type="dxa"/>
            <w:tcBorders>
              <w:top w:val="nil"/>
              <w:left w:val="nil"/>
              <w:bottom w:val="single" w:sz="4" w:space="0" w:color="auto"/>
              <w:right w:val="single" w:sz="4" w:space="0" w:color="auto"/>
            </w:tcBorders>
            <w:shd w:val="clear" w:color="auto" w:fill="FFFFFF" w:themeFill="background1"/>
            <w:noWrap/>
          </w:tcPr>
          <w:p w:rsidR="00A236F8" w:rsidRPr="00521F09" w:rsidRDefault="00A236F8" w:rsidP="00A236F8">
            <w:pPr>
              <w:spacing w:after="0" w:line="240" w:lineRule="auto"/>
              <w:jc w:val="right"/>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6.39</w:t>
            </w:r>
          </w:p>
        </w:tc>
        <w:tc>
          <w:tcPr>
            <w:tcW w:w="5021" w:type="dxa"/>
            <w:tcBorders>
              <w:top w:val="nil"/>
              <w:left w:val="nil"/>
              <w:bottom w:val="single" w:sz="4" w:space="0" w:color="auto"/>
              <w:right w:val="single" w:sz="4" w:space="0" w:color="auto"/>
            </w:tcBorders>
            <w:shd w:val="clear" w:color="auto" w:fill="FFFFFF" w:themeFill="background1"/>
            <w:noWrap/>
          </w:tcPr>
          <w:p w:rsidR="00A236F8" w:rsidRPr="00521F09" w:rsidRDefault="00521F09" w:rsidP="00A236F8">
            <w:pPr>
              <w:spacing w:after="0" w:line="240" w:lineRule="auto"/>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 xml:space="preserve">Lands within the grounds of the former mill and tannery adjacent to </w:t>
            </w:r>
            <w:proofErr w:type="spellStart"/>
            <w:r w:rsidRPr="00521F09">
              <w:rPr>
                <w:rFonts w:ascii="Calibri" w:eastAsia="Times New Roman" w:hAnsi="Calibri" w:cs="Times New Roman"/>
                <w:bCs/>
                <w:color w:val="000000"/>
                <w:lang w:eastAsia="en-GB"/>
              </w:rPr>
              <w:t>Shrigley</w:t>
            </w:r>
            <w:proofErr w:type="spellEnd"/>
            <w:r w:rsidRPr="00521F09">
              <w:rPr>
                <w:rFonts w:ascii="Calibri" w:eastAsia="Times New Roman" w:hAnsi="Calibri" w:cs="Times New Roman"/>
                <w:bCs/>
                <w:color w:val="000000"/>
                <w:lang w:eastAsia="en-GB"/>
              </w:rPr>
              <w:t xml:space="preserve"> Rd, considered suitable for future industrial use.</w:t>
            </w:r>
          </w:p>
        </w:tc>
      </w:tr>
      <w:tr w:rsidR="00A236F8" w:rsidRPr="001A27A4" w:rsidTr="00CA7DAA">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tcPr>
          <w:p w:rsidR="00A236F8" w:rsidRPr="008352E1" w:rsidRDefault="00A236F8" w:rsidP="00A236F8">
            <w:pPr>
              <w:spacing w:after="0" w:line="240" w:lineRule="auto"/>
              <w:rPr>
                <w:rFonts w:ascii="Calibri" w:eastAsia="Times New Roman" w:hAnsi="Calibri" w:cs="Times New Roman"/>
                <w:b/>
                <w:color w:val="000000"/>
                <w:lang w:eastAsia="en-GB"/>
              </w:rPr>
            </w:pPr>
            <w:r w:rsidRPr="008352E1">
              <w:rPr>
                <w:rFonts w:ascii="Calibri" w:eastAsia="Times New Roman" w:hAnsi="Calibri" w:cs="Times New Roman"/>
                <w:b/>
                <w:color w:val="000000"/>
                <w:lang w:eastAsia="en-GB"/>
              </w:rPr>
              <w:t>Small Settlement</w:t>
            </w:r>
          </w:p>
        </w:tc>
        <w:tc>
          <w:tcPr>
            <w:tcW w:w="2600" w:type="dxa"/>
            <w:tcBorders>
              <w:top w:val="nil"/>
              <w:left w:val="nil"/>
              <w:bottom w:val="single" w:sz="4" w:space="0" w:color="auto"/>
              <w:right w:val="single" w:sz="4" w:space="0" w:color="auto"/>
            </w:tcBorders>
            <w:shd w:val="clear" w:color="auto" w:fill="FFFFFF" w:themeFill="background1"/>
          </w:tcPr>
          <w:p w:rsidR="00A236F8" w:rsidRPr="001A27A4" w:rsidRDefault="00A236F8" w:rsidP="00A236F8">
            <w:pPr>
              <w:spacing w:after="0" w:line="240" w:lineRule="auto"/>
              <w:rPr>
                <w:rFonts w:ascii="Calibri" w:eastAsia="Times New Roman" w:hAnsi="Calibri" w:cs="Times New Roman"/>
                <w:b/>
                <w:bCs/>
                <w:color w:val="000000"/>
                <w:lang w:eastAsia="en-GB"/>
              </w:rPr>
            </w:pPr>
          </w:p>
        </w:tc>
        <w:tc>
          <w:tcPr>
            <w:tcW w:w="1180" w:type="dxa"/>
            <w:tcBorders>
              <w:top w:val="nil"/>
              <w:left w:val="nil"/>
              <w:bottom w:val="single" w:sz="4" w:space="0" w:color="auto"/>
              <w:right w:val="single" w:sz="4" w:space="0" w:color="auto"/>
            </w:tcBorders>
            <w:shd w:val="clear" w:color="auto" w:fill="FFFFFF" w:themeFill="background1"/>
            <w:noWrap/>
            <w:vAlign w:val="bottom"/>
          </w:tcPr>
          <w:p w:rsidR="00A236F8" w:rsidRPr="001A27A4" w:rsidRDefault="00A236F8" w:rsidP="00A236F8">
            <w:pPr>
              <w:spacing w:after="0" w:line="240" w:lineRule="auto"/>
              <w:jc w:val="right"/>
              <w:rPr>
                <w:rFonts w:ascii="Calibri" w:eastAsia="Times New Roman" w:hAnsi="Calibri" w:cs="Times New Roman"/>
                <w:b/>
                <w:bCs/>
                <w:color w:val="000000"/>
                <w:lang w:eastAsia="en-GB"/>
              </w:rPr>
            </w:pPr>
          </w:p>
        </w:tc>
        <w:tc>
          <w:tcPr>
            <w:tcW w:w="5021" w:type="dxa"/>
            <w:tcBorders>
              <w:top w:val="nil"/>
              <w:left w:val="nil"/>
              <w:bottom w:val="single" w:sz="4" w:space="0" w:color="auto"/>
              <w:right w:val="single" w:sz="4" w:space="0" w:color="auto"/>
            </w:tcBorders>
            <w:shd w:val="clear" w:color="auto" w:fill="FFFFFF" w:themeFill="background1"/>
            <w:noWrap/>
            <w:vAlign w:val="bottom"/>
          </w:tcPr>
          <w:p w:rsidR="00A236F8" w:rsidRPr="001A27A4" w:rsidRDefault="00A236F8" w:rsidP="00A236F8">
            <w:pPr>
              <w:spacing w:after="0" w:line="240" w:lineRule="auto"/>
              <w:rPr>
                <w:rFonts w:ascii="Calibri" w:eastAsia="Times New Roman" w:hAnsi="Calibri" w:cs="Times New Roman"/>
                <w:b/>
                <w:bCs/>
                <w:color w:val="000000"/>
                <w:lang w:eastAsia="en-GB"/>
              </w:rPr>
            </w:pPr>
          </w:p>
        </w:tc>
      </w:tr>
      <w:tr w:rsidR="000C67DF" w:rsidRPr="001A27A4" w:rsidTr="000C67DF">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tcPr>
          <w:p w:rsidR="000C67DF" w:rsidRPr="008352E1" w:rsidRDefault="000C67DF" w:rsidP="00A236F8">
            <w:pPr>
              <w:spacing w:after="0" w:line="240" w:lineRule="auto"/>
              <w:rPr>
                <w:rFonts w:ascii="Calibri" w:eastAsia="Times New Roman" w:hAnsi="Calibri" w:cs="Times New Roman"/>
                <w:b/>
                <w:color w:val="000000"/>
                <w:lang w:eastAsia="en-GB"/>
              </w:rPr>
            </w:pPr>
            <w:proofErr w:type="spellStart"/>
            <w:r w:rsidRPr="008352E1">
              <w:rPr>
                <w:rFonts w:ascii="Calibri" w:eastAsia="Times New Roman" w:hAnsi="Calibri" w:cs="Times New Roman"/>
                <w:b/>
                <w:color w:val="000000"/>
                <w:lang w:eastAsia="en-GB"/>
              </w:rPr>
              <w:t>Ballyhornan</w:t>
            </w:r>
            <w:proofErr w:type="spellEnd"/>
          </w:p>
        </w:tc>
        <w:tc>
          <w:tcPr>
            <w:tcW w:w="2600" w:type="dxa"/>
            <w:tcBorders>
              <w:top w:val="nil"/>
              <w:left w:val="nil"/>
              <w:bottom w:val="single" w:sz="4" w:space="0" w:color="auto"/>
              <w:right w:val="single" w:sz="4" w:space="0" w:color="auto"/>
            </w:tcBorders>
            <w:shd w:val="clear" w:color="auto" w:fill="FFFFFF" w:themeFill="background1"/>
          </w:tcPr>
          <w:p w:rsidR="000C67DF" w:rsidRPr="00521F09" w:rsidRDefault="000C67DF" w:rsidP="00A236F8">
            <w:pPr>
              <w:spacing w:after="0" w:line="240" w:lineRule="auto"/>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 xml:space="preserve">Lands at </w:t>
            </w:r>
            <w:proofErr w:type="spellStart"/>
            <w:r w:rsidRPr="00521F09">
              <w:rPr>
                <w:rFonts w:ascii="Calibri" w:eastAsia="Times New Roman" w:hAnsi="Calibri" w:cs="Times New Roman"/>
                <w:bCs/>
                <w:color w:val="000000"/>
                <w:lang w:eastAsia="en-GB"/>
              </w:rPr>
              <w:t>Killard</w:t>
            </w:r>
            <w:proofErr w:type="spellEnd"/>
            <w:r w:rsidRPr="00521F09">
              <w:rPr>
                <w:rFonts w:ascii="Calibri" w:eastAsia="Times New Roman" w:hAnsi="Calibri" w:cs="Times New Roman"/>
                <w:bCs/>
                <w:color w:val="000000"/>
                <w:lang w:eastAsia="en-GB"/>
              </w:rPr>
              <w:t xml:space="preserve"> Rd</w:t>
            </w:r>
            <w:r>
              <w:rPr>
                <w:rFonts w:ascii="Calibri" w:eastAsia="Times New Roman" w:hAnsi="Calibri" w:cs="Times New Roman"/>
                <w:bCs/>
                <w:color w:val="000000"/>
                <w:lang w:eastAsia="en-GB"/>
              </w:rPr>
              <w:t xml:space="preserve"> (IPA1)</w:t>
            </w:r>
          </w:p>
        </w:tc>
        <w:tc>
          <w:tcPr>
            <w:tcW w:w="1180" w:type="dxa"/>
            <w:tcBorders>
              <w:top w:val="nil"/>
              <w:left w:val="nil"/>
              <w:bottom w:val="single" w:sz="4" w:space="0" w:color="auto"/>
              <w:right w:val="single" w:sz="4" w:space="0" w:color="auto"/>
            </w:tcBorders>
            <w:shd w:val="clear" w:color="auto" w:fill="FFFFFF" w:themeFill="background1"/>
            <w:noWrap/>
            <w:vAlign w:val="bottom"/>
          </w:tcPr>
          <w:p w:rsidR="000C67DF" w:rsidRPr="000C67DF" w:rsidRDefault="000C67DF" w:rsidP="00A236F8">
            <w:pPr>
              <w:spacing w:after="0" w:line="240" w:lineRule="auto"/>
              <w:jc w:val="right"/>
              <w:rPr>
                <w:rFonts w:ascii="Calibri" w:eastAsia="Times New Roman" w:hAnsi="Calibri" w:cs="Times New Roman"/>
                <w:bCs/>
                <w:color w:val="000000"/>
                <w:lang w:eastAsia="en-GB"/>
              </w:rPr>
            </w:pPr>
            <w:r w:rsidRPr="000C67DF">
              <w:rPr>
                <w:rFonts w:ascii="Calibri" w:eastAsia="Times New Roman" w:hAnsi="Calibri" w:cs="Times New Roman"/>
                <w:bCs/>
                <w:color w:val="000000"/>
                <w:lang w:eastAsia="en-GB"/>
              </w:rPr>
              <w:t>1.82</w:t>
            </w:r>
          </w:p>
        </w:tc>
        <w:tc>
          <w:tcPr>
            <w:tcW w:w="5021" w:type="dxa"/>
            <w:vMerge w:val="restart"/>
            <w:tcBorders>
              <w:top w:val="nil"/>
              <w:left w:val="nil"/>
              <w:right w:val="single" w:sz="4" w:space="0" w:color="auto"/>
            </w:tcBorders>
            <w:shd w:val="clear" w:color="auto" w:fill="FFFFFF" w:themeFill="background1"/>
            <w:noWrap/>
            <w:vAlign w:val="bottom"/>
          </w:tcPr>
          <w:p w:rsidR="000C67DF" w:rsidRPr="000C67DF" w:rsidRDefault="000C67DF" w:rsidP="000C67DF">
            <w:pPr>
              <w:spacing w:after="0" w:line="240" w:lineRule="auto"/>
              <w:rPr>
                <w:rFonts w:ascii="Calibri" w:eastAsia="Times New Roman" w:hAnsi="Calibri" w:cs="Times New Roman"/>
                <w:bCs/>
                <w:color w:val="000000"/>
                <w:lang w:eastAsia="en-GB"/>
              </w:rPr>
            </w:pPr>
            <w:r w:rsidRPr="000C67DF">
              <w:rPr>
                <w:rFonts w:ascii="Calibri" w:eastAsia="Times New Roman" w:hAnsi="Calibri" w:cs="Times New Roman"/>
                <w:bCs/>
                <w:color w:val="000000"/>
                <w:lang w:eastAsia="en-GB"/>
              </w:rPr>
              <w:t xml:space="preserve">Opportunity for employment use as starter units in former RAF accommodation </w:t>
            </w:r>
          </w:p>
        </w:tc>
      </w:tr>
      <w:tr w:rsidR="000C67DF" w:rsidRPr="001A27A4" w:rsidTr="000C67DF">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tcPr>
          <w:p w:rsidR="000C67DF" w:rsidRPr="008352E1" w:rsidRDefault="000C67DF" w:rsidP="00A236F8">
            <w:pPr>
              <w:spacing w:after="0" w:line="240" w:lineRule="auto"/>
              <w:rPr>
                <w:rFonts w:ascii="Calibri" w:eastAsia="Times New Roman" w:hAnsi="Calibri" w:cs="Times New Roman"/>
                <w:b/>
                <w:color w:val="000000"/>
                <w:lang w:eastAsia="en-GB"/>
              </w:rPr>
            </w:pPr>
          </w:p>
        </w:tc>
        <w:tc>
          <w:tcPr>
            <w:tcW w:w="2600" w:type="dxa"/>
            <w:tcBorders>
              <w:top w:val="nil"/>
              <w:left w:val="nil"/>
              <w:bottom w:val="single" w:sz="4" w:space="0" w:color="auto"/>
              <w:right w:val="single" w:sz="4" w:space="0" w:color="auto"/>
            </w:tcBorders>
            <w:shd w:val="clear" w:color="auto" w:fill="FFFFFF" w:themeFill="background1"/>
          </w:tcPr>
          <w:p w:rsidR="000C67DF" w:rsidRPr="00521F09" w:rsidRDefault="000C67DF" w:rsidP="00A236F8">
            <w:pPr>
              <w:spacing w:after="0" w:line="240" w:lineRule="auto"/>
              <w:rPr>
                <w:rFonts w:ascii="Calibri" w:eastAsia="Times New Roman" w:hAnsi="Calibri" w:cs="Times New Roman"/>
                <w:bCs/>
                <w:color w:val="000000"/>
                <w:lang w:eastAsia="en-GB"/>
              </w:rPr>
            </w:pPr>
            <w:r w:rsidRPr="00521F09">
              <w:rPr>
                <w:rFonts w:ascii="Calibri" w:eastAsia="Times New Roman" w:hAnsi="Calibri" w:cs="Times New Roman"/>
                <w:bCs/>
                <w:color w:val="000000"/>
                <w:lang w:eastAsia="en-GB"/>
              </w:rPr>
              <w:t xml:space="preserve">Lands at </w:t>
            </w:r>
            <w:proofErr w:type="spellStart"/>
            <w:r w:rsidRPr="00521F09">
              <w:rPr>
                <w:rFonts w:ascii="Calibri" w:eastAsia="Times New Roman" w:hAnsi="Calibri" w:cs="Times New Roman"/>
                <w:bCs/>
                <w:color w:val="000000"/>
                <w:lang w:eastAsia="en-GB"/>
              </w:rPr>
              <w:t>Killard</w:t>
            </w:r>
            <w:proofErr w:type="spellEnd"/>
            <w:r w:rsidRPr="00521F09">
              <w:rPr>
                <w:rFonts w:ascii="Calibri" w:eastAsia="Times New Roman" w:hAnsi="Calibri" w:cs="Times New Roman"/>
                <w:bCs/>
                <w:color w:val="000000"/>
                <w:lang w:eastAsia="en-GB"/>
              </w:rPr>
              <w:t xml:space="preserve"> Rd</w:t>
            </w:r>
            <w:r>
              <w:rPr>
                <w:rFonts w:ascii="Calibri" w:eastAsia="Times New Roman" w:hAnsi="Calibri" w:cs="Times New Roman"/>
                <w:bCs/>
                <w:color w:val="000000"/>
                <w:lang w:eastAsia="en-GB"/>
              </w:rPr>
              <w:t xml:space="preserve"> (IPA2)</w:t>
            </w:r>
          </w:p>
        </w:tc>
        <w:tc>
          <w:tcPr>
            <w:tcW w:w="1180" w:type="dxa"/>
            <w:tcBorders>
              <w:top w:val="nil"/>
              <w:left w:val="nil"/>
              <w:bottom w:val="single" w:sz="4" w:space="0" w:color="auto"/>
              <w:right w:val="single" w:sz="4" w:space="0" w:color="auto"/>
            </w:tcBorders>
            <w:shd w:val="clear" w:color="auto" w:fill="FFFFFF" w:themeFill="background1"/>
            <w:noWrap/>
            <w:vAlign w:val="bottom"/>
          </w:tcPr>
          <w:p w:rsidR="000C67DF" w:rsidRPr="000C67DF" w:rsidRDefault="000C67DF" w:rsidP="00A236F8">
            <w:pPr>
              <w:spacing w:after="0" w:line="240" w:lineRule="auto"/>
              <w:jc w:val="right"/>
              <w:rPr>
                <w:rFonts w:ascii="Calibri" w:eastAsia="Times New Roman" w:hAnsi="Calibri" w:cs="Times New Roman"/>
                <w:bCs/>
                <w:color w:val="000000"/>
                <w:lang w:eastAsia="en-GB"/>
              </w:rPr>
            </w:pPr>
            <w:r>
              <w:rPr>
                <w:rFonts w:ascii="Calibri" w:eastAsia="Times New Roman" w:hAnsi="Calibri" w:cs="Times New Roman"/>
                <w:bCs/>
                <w:color w:val="000000"/>
                <w:lang w:eastAsia="en-GB"/>
              </w:rPr>
              <w:t>2.00</w:t>
            </w:r>
          </w:p>
        </w:tc>
        <w:tc>
          <w:tcPr>
            <w:tcW w:w="5021" w:type="dxa"/>
            <w:vMerge/>
            <w:tcBorders>
              <w:left w:val="nil"/>
              <w:bottom w:val="single" w:sz="4" w:space="0" w:color="auto"/>
              <w:right w:val="single" w:sz="4" w:space="0" w:color="auto"/>
            </w:tcBorders>
            <w:shd w:val="clear" w:color="auto" w:fill="FFFFFF" w:themeFill="background1"/>
            <w:noWrap/>
            <w:vAlign w:val="bottom"/>
          </w:tcPr>
          <w:p w:rsidR="000C67DF" w:rsidRPr="001A27A4" w:rsidRDefault="000C67DF" w:rsidP="00A236F8">
            <w:pPr>
              <w:spacing w:after="0" w:line="240" w:lineRule="auto"/>
              <w:rPr>
                <w:rFonts w:ascii="Calibri" w:eastAsia="Times New Roman" w:hAnsi="Calibri" w:cs="Times New Roman"/>
                <w:b/>
                <w:bCs/>
                <w:color w:val="000000"/>
                <w:lang w:eastAsia="en-GB"/>
              </w:rPr>
            </w:pPr>
          </w:p>
        </w:tc>
      </w:tr>
      <w:tr w:rsidR="00A236F8" w:rsidRPr="001A27A4" w:rsidTr="00A236F8">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A236F8" w:rsidRPr="001A27A4" w:rsidRDefault="00A236F8" w:rsidP="00A236F8">
            <w:pPr>
              <w:spacing w:after="0" w:line="240" w:lineRule="auto"/>
              <w:rPr>
                <w:rFonts w:ascii="Calibri" w:eastAsia="Times New Roman" w:hAnsi="Calibri" w:cs="Times New Roman"/>
                <w:color w:val="000000"/>
                <w:lang w:eastAsia="en-GB"/>
              </w:rPr>
            </w:pPr>
            <w:r w:rsidRPr="001A27A4">
              <w:rPr>
                <w:rFonts w:ascii="Calibri" w:eastAsia="Times New Roman" w:hAnsi="Calibri" w:cs="Times New Roman"/>
                <w:color w:val="000000"/>
                <w:lang w:eastAsia="en-GB"/>
              </w:rPr>
              <w:t> </w:t>
            </w:r>
          </w:p>
        </w:tc>
        <w:tc>
          <w:tcPr>
            <w:tcW w:w="2600" w:type="dxa"/>
            <w:tcBorders>
              <w:top w:val="nil"/>
              <w:left w:val="nil"/>
              <w:bottom w:val="single" w:sz="4" w:space="0" w:color="auto"/>
              <w:right w:val="single" w:sz="4" w:space="0" w:color="auto"/>
            </w:tcBorders>
            <w:shd w:val="clear" w:color="000000" w:fill="BFBFBF"/>
            <w:hideMark/>
          </w:tcPr>
          <w:p w:rsidR="00A236F8" w:rsidRPr="001A27A4" w:rsidRDefault="00A236F8" w:rsidP="00A236F8">
            <w:pPr>
              <w:spacing w:after="0" w:line="240" w:lineRule="auto"/>
              <w:rPr>
                <w:rFonts w:ascii="Calibri" w:eastAsia="Times New Roman" w:hAnsi="Calibri" w:cs="Times New Roman"/>
                <w:b/>
                <w:bCs/>
                <w:color w:val="000000"/>
                <w:lang w:eastAsia="en-GB"/>
              </w:rPr>
            </w:pPr>
            <w:r w:rsidRPr="001A27A4">
              <w:rPr>
                <w:rFonts w:ascii="Calibri" w:eastAsia="Times New Roman" w:hAnsi="Calibri" w:cs="Times New Roman"/>
                <w:b/>
                <w:bCs/>
                <w:color w:val="000000"/>
                <w:lang w:eastAsia="en-GB"/>
              </w:rPr>
              <w:t xml:space="preserve">Total </w:t>
            </w:r>
          </w:p>
        </w:tc>
        <w:tc>
          <w:tcPr>
            <w:tcW w:w="1180" w:type="dxa"/>
            <w:tcBorders>
              <w:top w:val="nil"/>
              <w:left w:val="nil"/>
              <w:bottom w:val="single" w:sz="4" w:space="0" w:color="auto"/>
              <w:right w:val="single" w:sz="4" w:space="0" w:color="auto"/>
            </w:tcBorders>
            <w:shd w:val="clear" w:color="000000" w:fill="BFBFBF"/>
            <w:noWrap/>
            <w:vAlign w:val="bottom"/>
            <w:hideMark/>
          </w:tcPr>
          <w:p w:rsidR="00A236F8" w:rsidRPr="001A27A4" w:rsidRDefault="003D63A4" w:rsidP="00A236F8">
            <w:pPr>
              <w:spacing w:after="0" w:line="240" w:lineRule="auto"/>
              <w:jc w:val="right"/>
              <w:rPr>
                <w:rFonts w:ascii="Calibri" w:eastAsia="Times New Roman" w:hAnsi="Calibri" w:cs="Times New Roman"/>
                <w:b/>
                <w:bCs/>
                <w:color w:val="000000"/>
                <w:lang w:eastAsia="en-GB"/>
              </w:rPr>
            </w:pPr>
            <w:r w:rsidRPr="00E56B07">
              <w:rPr>
                <w:rFonts w:ascii="Calibri" w:eastAsia="Times New Roman" w:hAnsi="Calibri" w:cs="Times New Roman"/>
                <w:b/>
                <w:bCs/>
                <w:color w:val="000000"/>
                <w:lang w:eastAsia="en-GB"/>
              </w:rPr>
              <w:t>21.12</w:t>
            </w:r>
          </w:p>
        </w:tc>
        <w:tc>
          <w:tcPr>
            <w:tcW w:w="5021" w:type="dxa"/>
            <w:tcBorders>
              <w:top w:val="nil"/>
              <w:left w:val="nil"/>
              <w:bottom w:val="single" w:sz="4" w:space="0" w:color="auto"/>
              <w:right w:val="single" w:sz="4" w:space="0" w:color="auto"/>
            </w:tcBorders>
            <w:shd w:val="clear" w:color="000000" w:fill="BFBFBF"/>
            <w:noWrap/>
            <w:vAlign w:val="bottom"/>
          </w:tcPr>
          <w:p w:rsidR="00A236F8" w:rsidRPr="001A27A4" w:rsidRDefault="00A236F8" w:rsidP="00A236F8">
            <w:pPr>
              <w:spacing w:after="0" w:line="240" w:lineRule="auto"/>
              <w:rPr>
                <w:rFonts w:ascii="Calibri" w:eastAsia="Times New Roman" w:hAnsi="Calibri" w:cs="Times New Roman"/>
                <w:b/>
                <w:bCs/>
                <w:color w:val="000000"/>
                <w:lang w:eastAsia="en-GB"/>
              </w:rPr>
            </w:pPr>
          </w:p>
        </w:tc>
      </w:tr>
    </w:tbl>
    <w:p w:rsidR="002315B3" w:rsidRDefault="002315B3" w:rsidP="002315B3">
      <w:pPr>
        <w:autoSpaceDE w:val="0"/>
        <w:autoSpaceDN w:val="0"/>
        <w:adjustRightInd w:val="0"/>
        <w:spacing w:after="0" w:line="240" w:lineRule="auto"/>
        <w:rPr>
          <w:rFonts w:ascii="Arial" w:hAnsi="Arial" w:cs="Arial"/>
          <w:b/>
          <w:bCs/>
          <w:sz w:val="24"/>
          <w:szCs w:val="24"/>
        </w:rPr>
      </w:pPr>
    </w:p>
    <w:p w:rsidR="008352E1" w:rsidRPr="008352E1" w:rsidRDefault="008352E1" w:rsidP="002315B3">
      <w:pPr>
        <w:autoSpaceDE w:val="0"/>
        <w:autoSpaceDN w:val="0"/>
        <w:adjustRightInd w:val="0"/>
        <w:spacing w:after="0" w:line="240" w:lineRule="auto"/>
        <w:rPr>
          <w:rFonts w:ascii="Arial" w:hAnsi="Arial" w:cs="Arial"/>
          <w:bCs/>
          <w:sz w:val="18"/>
          <w:szCs w:val="18"/>
        </w:rPr>
      </w:pPr>
      <w:r>
        <w:rPr>
          <w:rFonts w:ascii="Arial" w:hAnsi="Arial" w:cs="Arial"/>
          <w:bCs/>
          <w:sz w:val="18"/>
          <w:szCs w:val="18"/>
        </w:rPr>
        <w:t>*</w:t>
      </w:r>
      <w:r w:rsidRPr="008352E1">
        <w:rPr>
          <w:rFonts w:ascii="Arial" w:hAnsi="Arial" w:cs="Arial"/>
          <w:bCs/>
          <w:sz w:val="18"/>
          <w:szCs w:val="18"/>
        </w:rPr>
        <w:t>Site located</w:t>
      </w:r>
      <w:r>
        <w:rPr>
          <w:rFonts w:ascii="Arial" w:hAnsi="Arial" w:cs="Arial"/>
          <w:bCs/>
          <w:sz w:val="18"/>
          <w:szCs w:val="18"/>
        </w:rPr>
        <w:t xml:space="preserve"> outside the settlement limit for </w:t>
      </w:r>
      <w:proofErr w:type="spellStart"/>
      <w:r>
        <w:rPr>
          <w:rFonts w:ascii="Arial" w:hAnsi="Arial" w:cs="Arial"/>
          <w:bCs/>
          <w:sz w:val="18"/>
          <w:szCs w:val="18"/>
        </w:rPr>
        <w:t>Crossgar</w:t>
      </w:r>
      <w:proofErr w:type="spellEnd"/>
      <w:r>
        <w:rPr>
          <w:rFonts w:ascii="Arial" w:hAnsi="Arial" w:cs="Arial"/>
          <w:bCs/>
          <w:sz w:val="18"/>
          <w:szCs w:val="18"/>
        </w:rPr>
        <w:t xml:space="preserve">, forms part of countryside proposals within </w:t>
      </w:r>
      <w:r w:rsidR="009333AF">
        <w:rPr>
          <w:rFonts w:ascii="Arial" w:hAnsi="Arial" w:cs="Arial"/>
          <w:bCs/>
          <w:sz w:val="18"/>
          <w:szCs w:val="18"/>
        </w:rPr>
        <w:t xml:space="preserve">the </w:t>
      </w:r>
      <w:r>
        <w:rPr>
          <w:rFonts w:ascii="Arial" w:hAnsi="Arial" w:cs="Arial"/>
          <w:bCs/>
          <w:sz w:val="18"/>
          <w:szCs w:val="18"/>
        </w:rPr>
        <w:t>ADAP.</w:t>
      </w:r>
    </w:p>
    <w:p w:rsidR="002315B3" w:rsidRPr="008352E1" w:rsidRDefault="002315B3" w:rsidP="002315B3">
      <w:pPr>
        <w:autoSpaceDE w:val="0"/>
        <w:autoSpaceDN w:val="0"/>
        <w:adjustRightInd w:val="0"/>
        <w:spacing w:after="0" w:line="240" w:lineRule="auto"/>
        <w:rPr>
          <w:rFonts w:ascii="Arial" w:hAnsi="Arial" w:cs="Arial"/>
          <w:b/>
          <w:bCs/>
          <w:sz w:val="18"/>
          <w:szCs w:val="18"/>
        </w:rPr>
      </w:pPr>
    </w:p>
    <w:p w:rsidR="002315B3" w:rsidRDefault="002315B3" w:rsidP="002315B3">
      <w:pPr>
        <w:autoSpaceDE w:val="0"/>
        <w:autoSpaceDN w:val="0"/>
        <w:adjustRightInd w:val="0"/>
        <w:spacing w:after="0" w:line="240" w:lineRule="auto"/>
        <w:rPr>
          <w:rFonts w:ascii="Arial" w:hAnsi="Arial" w:cs="Arial"/>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bookmarkStart w:id="0" w:name="_GoBack"/>
      <w:bookmarkEnd w:id="0"/>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2315B3" w:rsidRDefault="002315B3" w:rsidP="000F346A">
      <w:pPr>
        <w:autoSpaceDE w:val="0"/>
        <w:autoSpaceDN w:val="0"/>
        <w:adjustRightInd w:val="0"/>
        <w:spacing w:after="0" w:line="240" w:lineRule="auto"/>
        <w:rPr>
          <w:rFonts w:ascii="Tahoma" w:hAnsi="Tahoma" w:cs="Tahoma"/>
          <w:b/>
          <w:bCs/>
          <w:sz w:val="24"/>
          <w:szCs w:val="24"/>
        </w:rPr>
      </w:pPr>
    </w:p>
    <w:p w:rsidR="00C20374" w:rsidRDefault="00C20374" w:rsidP="000F346A">
      <w:pPr>
        <w:autoSpaceDE w:val="0"/>
        <w:autoSpaceDN w:val="0"/>
        <w:adjustRightInd w:val="0"/>
        <w:spacing w:after="0" w:line="240" w:lineRule="auto"/>
        <w:rPr>
          <w:rFonts w:ascii="Tahoma" w:hAnsi="Tahoma" w:cs="Tahoma"/>
          <w:b/>
          <w:bCs/>
          <w:sz w:val="24"/>
          <w:szCs w:val="24"/>
        </w:rPr>
      </w:pPr>
    </w:p>
    <w:p w:rsidR="00DC03A8" w:rsidRPr="003A54AA" w:rsidRDefault="000450F5" w:rsidP="000F346A">
      <w:pPr>
        <w:autoSpaceDE w:val="0"/>
        <w:autoSpaceDN w:val="0"/>
        <w:adjustRightInd w:val="0"/>
        <w:spacing w:after="0" w:line="240" w:lineRule="auto"/>
        <w:rPr>
          <w:rFonts w:ascii="Tahoma" w:hAnsi="Tahoma" w:cs="Tahoma"/>
          <w:b/>
          <w:bCs/>
          <w:sz w:val="24"/>
          <w:szCs w:val="24"/>
        </w:rPr>
      </w:pPr>
      <w:r>
        <w:rPr>
          <w:rFonts w:ascii="Tahoma" w:hAnsi="Tahoma" w:cs="Tahoma"/>
          <w:b/>
          <w:bCs/>
          <w:sz w:val="24"/>
          <w:szCs w:val="24"/>
        </w:rPr>
        <w:lastRenderedPageBreak/>
        <w:t>Appendix F</w:t>
      </w:r>
      <w:r w:rsidR="00DC03A8" w:rsidRPr="003A54AA">
        <w:rPr>
          <w:rFonts w:ascii="Tahoma" w:hAnsi="Tahoma" w:cs="Tahoma"/>
          <w:b/>
          <w:bCs/>
          <w:sz w:val="24"/>
          <w:szCs w:val="24"/>
        </w:rPr>
        <w:t xml:space="preserve">: Definitions of </w:t>
      </w:r>
      <w:r w:rsidR="00C83EE0">
        <w:rPr>
          <w:rFonts w:ascii="Tahoma" w:hAnsi="Tahoma" w:cs="Tahoma"/>
          <w:b/>
          <w:bCs/>
          <w:sz w:val="24"/>
          <w:szCs w:val="24"/>
        </w:rPr>
        <w:t>Employment Sectors</w:t>
      </w:r>
      <w:r w:rsidR="00632035" w:rsidRPr="003A54AA">
        <w:rPr>
          <w:rStyle w:val="FootnoteReference"/>
          <w:rFonts w:ascii="Tahoma" w:hAnsi="Tahoma" w:cs="Tahoma"/>
          <w:b/>
          <w:bCs/>
          <w:sz w:val="24"/>
          <w:szCs w:val="24"/>
        </w:rPr>
        <w:footnoteReference w:id="34"/>
      </w:r>
      <w:r w:rsidR="00DC03A8" w:rsidRPr="003A54AA">
        <w:rPr>
          <w:rFonts w:ascii="Tahoma" w:hAnsi="Tahoma" w:cs="Tahoma"/>
          <w:b/>
          <w:bCs/>
          <w:sz w:val="24"/>
          <w:szCs w:val="24"/>
        </w:rPr>
        <w:t>:</w:t>
      </w:r>
    </w:p>
    <w:p w:rsidR="00DC03A8" w:rsidRPr="003A54AA" w:rsidRDefault="00DC03A8" w:rsidP="000F346A">
      <w:pPr>
        <w:autoSpaceDE w:val="0"/>
        <w:autoSpaceDN w:val="0"/>
        <w:adjustRightInd w:val="0"/>
        <w:spacing w:after="0" w:line="240" w:lineRule="auto"/>
        <w:rPr>
          <w:rFonts w:ascii="Tahoma" w:hAnsi="Tahoma" w:cs="Tahoma"/>
          <w:b/>
          <w:bCs/>
          <w:sz w:val="24"/>
          <w:szCs w:val="24"/>
        </w:rPr>
      </w:pPr>
    </w:p>
    <w:p w:rsidR="00DC03A8" w:rsidRPr="003A54AA" w:rsidRDefault="00DC03A8" w:rsidP="00DC03A8">
      <w:pPr>
        <w:pStyle w:val="ListParagraph"/>
        <w:numPr>
          <w:ilvl w:val="0"/>
          <w:numId w:val="9"/>
        </w:numPr>
        <w:autoSpaceDE w:val="0"/>
        <w:autoSpaceDN w:val="0"/>
        <w:adjustRightInd w:val="0"/>
        <w:spacing w:after="0" w:line="240" w:lineRule="auto"/>
        <w:rPr>
          <w:rFonts w:ascii="Tahoma" w:hAnsi="Tahoma" w:cs="Tahoma"/>
          <w:bCs/>
          <w:sz w:val="24"/>
          <w:szCs w:val="24"/>
        </w:rPr>
      </w:pPr>
      <w:r w:rsidRPr="003A54AA">
        <w:rPr>
          <w:rFonts w:ascii="Tahoma" w:hAnsi="Tahoma" w:cs="Tahoma"/>
          <w:bCs/>
          <w:sz w:val="24"/>
          <w:szCs w:val="24"/>
        </w:rPr>
        <w:t>The primary sector of the economy is the sector of an economy making direct use of natural resources. This includes agriculture, forestry, fishing and mining.</w:t>
      </w:r>
    </w:p>
    <w:p w:rsidR="00DC03A8" w:rsidRPr="003A54AA" w:rsidRDefault="00DC03A8" w:rsidP="00DC03A8">
      <w:pPr>
        <w:pStyle w:val="ListParagraph"/>
        <w:numPr>
          <w:ilvl w:val="0"/>
          <w:numId w:val="9"/>
        </w:numPr>
        <w:autoSpaceDE w:val="0"/>
        <w:autoSpaceDN w:val="0"/>
        <w:adjustRightInd w:val="0"/>
        <w:spacing w:after="0" w:line="240" w:lineRule="auto"/>
        <w:rPr>
          <w:rFonts w:ascii="Tahoma" w:hAnsi="Tahoma" w:cs="Tahoma"/>
          <w:bCs/>
          <w:sz w:val="24"/>
          <w:szCs w:val="24"/>
        </w:rPr>
      </w:pPr>
      <w:r w:rsidRPr="003A54AA">
        <w:rPr>
          <w:rFonts w:ascii="Tahoma" w:hAnsi="Tahoma" w:cs="Tahoma"/>
          <w:bCs/>
          <w:sz w:val="24"/>
          <w:szCs w:val="24"/>
        </w:rPr>
        <w:t>The secondary sector of the economy is the sector of an economy producing, assembling and manufacturing goods. This includes those economic sectors that produce a finished, usable product.</w:t>
      </w:r>
    </w:p>
    <w:p w:rsidR="00DC03A8" w:rsidRPr="003A54AA" w:rsidRDefault="00DC03A8" w:rsidP="00DC03A8">
      <w:pPr>
        <w:pStyle w:val="ListParagraph"/>
        <w:numPr>
          <w:ilvl w:val="0"/>
          <w:numId w:val="9"/>
        </w:numPr>
        <w:autoSpaceDE w:val="0"/>
        <w:autoSpaceDN w:val="0"/>
        <w:adjustRightInd w:val="0"/>
        <w:spacing w:after="0" w:line="240" w:lineRule="auto"/>
        <w:rPr>
          <w:rFonts w:ascii="Tahoma" w:hAnsi="Tahoma" w:cs="Tahoma"/>
          <w:bCs/>
          <w:sz w:val="24"/>
          <w:szCs w:val="24"/>
        </w:rPr>
      </w:pPr>
      <w:r w:rsidRPr="003A54AA">
        <w:rPr>
          <w:rFonts w:ascii="Tahoma" w:hAnsi="Tahoma" w:cs="Tahoma"/>
          <w:bCs/>
          <w:sz w:val="24"/>
          <w:szCs w:val="24"/>
        </w:rPr>
        <w:t xml:space="preserve">The service or tertiary sector is the sector of an economy producing services. The service </w:t>
      </w:r>
      <w:r w:rsidR="00871E8F" w:rsidRPr="003A54AA">
        <w:rPr>
          <w:rFonts w:ascii="Tahoma" w:hAnsi="Tahoma" w:cs="Tahoma"/>
          <w:bCs/>
          <w:sz w:val="24"/>
          <w:szCs w:val="24"/>
        </w:rPr>
        <w:t>sector consists of soft parts of the economy, i.e. activities where people offer their knowledge and time to improve productivity. Performance, potential and sustainability.</w:t>
      </w:r>
    </w:p>
    <w:p w:rsidR="00871E8F" w:rsidRPr="003A54AA" w:rsidRDefault="00871E8F" w:rsidP="00871E8F">
      <w:pPr>
        <w:autoSpaceDE w:val="0"/>
        <w:autoSpaceDN w:val="0"/>
        <w:adjustRightInd w:val="0"/>
        <w:spacing w:after="0" w:line="240" w:lineRule="auto"/>
        <w:rPr>
          <w:rFonts w:ascii="Tahoma" w:hAnsi="Tahoma" w:cs="Tahoma"/>
          <w:bCs/>
          <w:sz w:val="24"/>
          <w:szCs w:val="24"/>
        </w:rPr>
      </w:pPr>
    </w:p>
    <w:p w:rsidR="00871E8F" w:rsidRPr="003A54AA" w:rsidRDefault="00871E8F" w:rsidP="00871E8F">
      <w:pPr>
        <w:autoSpaceDE w:val="0"/>
        <w:autoSpaceDN w:val="0"/>
        <w:adjustRightInd w:val="0"/>
        <w:spacing w:after="0" w:line="240" w:lineRule="auto"/>
        <w:rPr>
          <w:rFonts w:ascii="Tahoma" w:hAnsi="Tahoma" w:cs="Tahoma"/>
          <w:bCs/>
          <w:sz w:val="24"/>
          <w:szCs w:val="24"/>
        </w:rPr>
      </w:pPr>
      <w:proofErr w:type="gramStart"/>
      <w:r w:rsidRPr="003A54AA">
        <w:rPr>
          <w:rFonts w:ascii="Tahoma" w:hAnsi="Tahoma" w:cs="Tahoma"/>
          <w:bCs/>
          <w:sz w:val="24"/>
          <w:szCs w:val="24"/>
        </w:rPr>
        <w:t>Definitions of Primary, Secondary &amp; Tertiary/Service S</w:t>
      </w:r>
      <w:r w:rsidR="00B71BA3" w:rsidRPr="003A54AA">
        <w:rPr>
          <w:rFonts w:ascii="Tahoma" w:hAnsi="Tahoma" w:cs="Tahoma"/>
          <w:bCs/>
          <w:sz w:val="24"/>
          <w:szCs w:val="24"/>
        </w:rPr>
        <w:t>ector Employment for Census 2011</w:t>
      </w:r>
      <w:r w:rsidRPr="003A54AA">
        <w:rPr>
          <w:rFonts w:ascii="Tahoma" w:hAnsi="Tahoma" w:cs="Tahoma"/>
          <w:bCs/>
          <w:sz w:val="24"/>
          <w:szCs w:val="24"/>
        </w:rPr>
        <w:t>.</w:t>
      </w:r>
      <w:proofErr w:type="gramEnd"/>
    </w:p>
    <w:p w:rsidR="00871E8F" w:rsidRDefault="00871E8F" w:rsidP="00871E8F">
      <w:pPr>
        <w:autoSpaceDE w:val="0"/>
        <w:autoSpaceDN w:val="0"/>
        <w:adjustRightInd w:val="0"/>
        <w:spacing w:after="0" w:line="240" w:lineRule="auto"/>
        <w:jc w:val="center"/>
        <w:rPr>
          <w:rFonts w:ascii="Arial" w:hAnsi="Arial" w:cs="Arial"/>
          <w:bCs/>
          <w:sz w:val="24"/>
          <w:szCs w:val="24"/>
        </w:rPr>
      </w:pPr>
    </w:p>
    <w:tbl>
      <w:tblPr>
        <w:tblStyle w:val="TableGrid"/>
        <w:tblW w:w="9464" w:type="dxa"/>
        <w:tblLayout w:type="fixed"/>
        <w:tblLook w:val="04A0" w:firstRow="1" w:lastRow="0" w:firstColumn="1" w:lastColumn="0" w:noHBand="0" w:noVBand="1"/>
      </w:tblPr>
      <w:tblGrid>
        <w:gridCol w:w="2093"/>
        <w:gridCol w:w="7371"/>
      </w:tblGrid>
      <w:tr w:rsidR="00871E8F" w:rsidTr="003A54AA">
        <w:tc>
          <w:tcPr>
            <w:tcW w:w="2093" w:type="dxa"/>
            <w:shd w:val="clear" w:color="auto" w:fill="BFBFBF" w:themeFill="background1" w:themeFillShade="BF"/>
            <w:vAlign w:val="center"/>
          </w:tcPr>
          <w:p w:rsidR="00871E8F" w:rsidRPr="003A54AA" w:rsidRDefault="00871E8F" w:rsidP="003A54AA">
            <w:pPr>
              <w:autoSpaceDE w:val="0"/>
              <w:autoSpaceDN w:val="0"/>
              <w:adjustRightInd w:val="0"/>
              <w:rPr>
                <w:rFonts w:ascii="Tahoma" w:hAnsi="Tahoma" w:cs="Tahoma"/>
                <w:b/>
                <w:bCs/>
                <w:sz w:val="24"/>
                <w:szCs w:val="24"/>
              </w:rPr>
            </w:pPr>
            <w:r w:rsidRPr="003A54AA">
              <w:rPr>
                <w:rFonts w:ascii="Tahoma" w:hAnsi="Tahoma" w:cs="Tahoma"/>
                <w:b/>
                <w:bCs/>
                <w:sz w:val="24"/>
                <w:szCs w:val="24"/>
              </w:rPr>
              <w:t>Classification</w:t>
            </w:r>
          </w:p>
        </w:tc>
        <w:tc>
          <w:tcPr>
            <w:tcW w:w="7371" w:type="dxa"/>
            <w:shd w:val="clear" w:color="auto" w:fill="BFBFBF" w:themeFill="background1" w:themeFillShade="BF"/>
          </w:tcPr>
          <w:p w:rsidR="00871E8F" w:rsidRPr="003A54AA" w:rsidRDefault="00B71BA3" w:rsidP="00871E8F">
            <w:pPr>
              <w:autoSpaceDE w:val="0"/>
              <w:autoSpaceDN w:val="0"/>
              <w:adjustRightInd w:val="0"/>
              <w:jc w:val="center"/>
              <w:rPr>
                <w:rFonts w:ascii="Tahoma" w:hAnsi="Tahoma" w:cs="Tahoma"/>
                <w:b/>
                <w:bCs/>
                <w:sz w:val="24"/>
                <w:szCs w:val="24"/>
              </w:rPr>
            </w:pPr>
            <w:r w:rsidRPr="003A54AA">
              <w:rPr>
                <w:rFonts w:ascii="Tahoma" w:hAnsi="Tahoma" w:cs="Tahoma"/>
                <w:b/>
                <w:bCs/>
                <w:sz w:val="24"/>
                <w:szCs w:val="24"/>
              </w:rPr>
              <w:t>Category</w:t>
            </w:r>
          </w:p>
        </w:tc>
      </w:tr>
      <w:tr w:rsidR="00871E8F" w:rsidTr="003A54AA">
        <w:tc>
          <w:tcPr>
            <w:tcW w:w="2093" w:type="dxa"/>
          </w:tcPr>
          <w:p w:rsidR="00871E8F" w:rsidRPr="003A54AA" w:rsidRDefault="00871E8F" w:rsidP="003A54AA">
            <w:pPr>
              <w:pStyle w:val="ListParagraph"/>
              <w:numPr>
                <w:ilvl w:val="0"/>
                <w:numId w:val="11"/>
              </w:numPr>
              <w:autoSpaceDE w:val="0"/>
              <w:autoSpaceDN w:val="0"/>
              <w:adjustRightInd w:val="0"/>
              <w:rPr>
                <w:rFonts w:ascii="Tahoma" w:hAnsi="Tahoma" w:cs="Tahoma"/>
                <w:bCs/>
                <w:sz w:val="24"/>
                <w:szCs w:val="24"/>
              </w:rPr>
            </w:pPr>
            <w:r w:rsidRPr="003A54AA">
              <w:rPr>
                <w:rFonts w:ascii="Tahoma" w:hAnsi="Tahoma" w:cs="Tahoma"/>
                <w:bCs/>
                <w:sz w:val="24"/>
                <w:szCs w:val="24"/>
              </w:rPr>
              <w:t xml:space="preserve">Primary </w:t>
            </w:r>
          </w:p>
        </w:tc>
        <w:tc>
          <w:tcPr>
            <w:tcW w:w="7371" w:type="dxa"/>
          </w:tcPr>
          <w:p w:rsidR="00871E8F" w:rsidRPr="003A54AA" w:rsidRDefault="00871E8F" w:rsidP="00871E8F">
            <w:pPr>
              <w:pStyle w:val="ListParagraph"/>
              <w:numPr>
                <w:ilvl w:val="0"/>
                <w:numId w:val="12"/>
              </w:numPr>
              <w:autoSpaceDE w:val="0"/>
              <w:autoSpaceDN w:val="0"/>
              <w:adjustRightInd w:val="0"/>
              <w:rPr>
                <w:rFonts w:ascii="Tahoma" w:hAnsi="Tahoma" w:cs="Tahoma"/>
                <w:bCs/>
                <w:sz w:val="24"/>
                <w:szCs w:val="24"/>
              </w:rPr>
            </w:pPr>
            <w:r w:rsidRPr="003A54AA">
              <w:rPr>
                <w:rFonts w:ascii="Tahoma" w:hAnsi="Tahoma" w:cs="Tahoma"/>
                <w:bCs/>
                <w:sz w:val="24"/>
                <w:szCs w:val="24"/>
              </w:rPr>
              <w:t>Agriculture</w:t>
            </w:r>
            <w:r w:rsidR="00B36D60" w:rsidRPr="003A54AA">
              <w:rPr>
                <w:rFonts w:ascii="Tahoma" w:hAnsi="Tahoma" w:cs="Tahoma"/>
                <w:bCs/>
                <w:sz w:val="24"/>
                <w:szCs w:val="24"/>
              </w:rPr>
              <w:t>, Forestry and Fishing</w:t>
            </w:r>
            <w:r w:rsidR="00C83EE0">
              <w:rPr>
                <w:rFonts w:ascii="Tahoma" w:hAnsi="Tahoma" w:cs="Tahoma"/>
                <w:bCs/>
                <w:sz w:val="24"/>
                <w:szCs w:val="24"/>
              </w:rPr>
              <w:t>.</w:t>
            </w:r>
          </w:p>
          <w:p w:rsidR="00B71BA3" w:rsidRPr="003A54AA" w:rsidRDefault="00B71BA3" w:rsidP="00871E8F">
            <w:pPr>
              <w:pStyle w:val="ListParagraph"/>
              <w:numPr>
                <w:ilvl w:val="0"/>
                <w:numId w:val="12"/>
              </w:numPr>
              <w:autoSpaceDE w:val="0"/>
              <w:autoSpaceDN w:val="0"/>
              <w:adjustRightInd w:val="0"/>
              <w:rPr>
                <w:rFonts w:ascii="Tahoma" w:hAnsi="Tahoma" w:cs="Tahoma"/>
                <w:bCs/>
                <w:sz w:val="24"/>
                <w:szCs w:val="24"/>
              </w:rPr>
            </w:pPr>
            <w:r w:rsidRPr="003A54AA">
              <w:rPr>
                <w:rFonts w:ascii="Tahoma" w:hAnsi="Tahoma" w:cs="Tahoma"/>
                <w:bCs/>
                <w:sz w:val="24"/>
                <w:szCs w:val="24"/>
              </w:rPr>
              <w:t>Mining and Quar</w:t>
            </w:r>
            <w:r w:rsidR="00632035" w:rsidRPr="003A54AA">
              <w:rPr>
                <w:rFonts w:ascii="Tahoma" w:hAnsi="Tahoma" w:cs="Tahoma"/>
                <w:bCs/>
                <w:sz w:val="24"/>
                <w:szCs w:val="24"/>
              </w:rPr>
              <w:t>r</w:t>
            </w:r>
            <w:r w:rsidRPr="003A54AA">
              <w:rPr>
                <w:rFonts w:ascii="Tahoma" w:hAnsi="Tahoma" w:cs="Tahoma"/>
                <w:bCs/>
                <w:sz w:val="24"/>
                <w:szCs w:val="24"/>
              </w:rPr>
              <w:t>ying</w:t>
            </w:r>
            <w:r w:rsidR="00C83EE0">
              <w:rPr>
                <w:rFonts w:ascii="Tahoma" w:hAnsi="Tahoma" w:cs="Tahoma"/>
                <w:bCs/>
                <w:sz w:val="24"/>
                <w:szCs w:val="24"/>
              </w:rPr>
              <w:t>.</w:t>
            </w:r>
          </w:p>
        </w:tc>
      </w:tr>
      <w:tr w:rsidR="00871E8F" w:rsidTr="003A54AA">
        <w:tc>
          <w:tcPr>
            <w:tcW w:w="2093" w:type="dxa"/>
          </w:tcPr>
          <w:p w:rsidR="00871E8F" w:rsidRPr="003A54AA" w:rsidRDefault="00871E8F" w:rsidP="003A54AA">
            <w:pPr>
              <w:pStyle w:val="ListParagraph"/>
              <w:numPr>
                <w:ilvl w:val="0"/>
                <w:numId w:val="11"/>
              </w:numPr>
              <w:autoSpaceDE w:val="0"/>
              <w:autoSpaceDN w:val="0"/>
              <w:adjustRightInd w:val="0"/>
              <w:rPr>
                <w:rFonts w:ascii="Tahoma" w:hAnsi="Tahoma" w:cs="Tahoma"/>
                <w:bCs/>
                <w:sz w:val="24"/>
                <w:szCs w:val="24"/>
              </w:rPr>
            </w:pPr>
            <w:r w:rsidRPr="003A54AA">
              <w:rPr>
                <w:rFonts w:ascii="Tahoma" w:hAnsi="Tahoma" w:cs="Tahoma"/>
                <w:bCs/>
                <w:sz w:val="24"/>
                <w:szCs w:val="24"/>
              </w:rPr>
              <w:t>Secondary</w:t>
            </w:r>
          </w:p>
        </w:tc>
        <w:tc>
          <w:tcPr>
            <w:tcW w:w="7371" w:type="dxa"/>
          </w:tcPr>
          <w:p w:rsidR="00871E8F" w:rsidRPr="003A54AA" w:rsidRDefault="00B71BA3" w:rsidP="00B71BA3">
            <w:pPr>
              <w:pStyle w:val="ListParagraph"/>
              <w:numPr>
                <w:ilvl w:val="0"/>
                <w:numId w:val="12"/>
              </w:numPr>
              <w:autoSpaceDE w:val="0"/>
              <w:autoSpaceDN w:val="0"/>
              <w:adjustRightInd w:val="0"/>
              <w:rPr>
                <w:rFonts w:ascii="Tahoma" w:hAnsi="Tahoma" w:cs="Tahoma"/>
                <w:bCs/>
                <w:sz w:val="24"/>
                <w:szCs w:val="24"/>
              </w:rPr>
            </w:pPr>
            <w:r w:rsidRPr="003A54AA">
              <w:rPr>
                <w:rFonts w:ascii="Tahoma" w:hAnsi="Tahoma" w:cs="Tahoma"/>
                <w:bCs/>
                <w:sz w:val="24"/>
                <w:szCs w:val="24"/>
              </w:rPr>
              <w:t>Manufacturing</w:t>
            </w:r>
            <w:r w:rsidR="00C83EE0">
              <w:rPr>
                <w:rFonts w:ascii="Tahoma" w:hAnsi="Tahoma" w:cs="Tahoma"/>
                <w:bCs/>
                <w:sz w:val="24"/>
                <w:szCs w:val="24"/>
              </w:rPr>
              <w:t>.</w:t>
            </w:r>
          </w:p>
          <w:p w:rsidR="00B71BA3"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F.</w:t>
            </w:r>
            <w:r w:rsidR="00702DE6" w:rsidRPr="003A54AA">
              <w:rPr>
                <w:rFonts w:ascii="Tahoma" w:hAnsi="Tahoma" w:cs="Tahoma"/>
                <w:bCs/>
                <w:sz w:val="24"/>
                <w:szCs w:val="24"/>
              </w:rPr>
              <w:t xml:space="preserve">  </w:t>
            </w:r>
            <w:proofErr w:type="gramStart"/>
            <w:r w:rsidR="00B71BA3" w:rsidRPr="003A54AA">
              <w:rPr>
                <w:rFonts w:ascii="Tahoma" w:hAnsi="Tahoma" w:cs="Tahoma"/>
                <w:bCs/>
                <w:sz w:val="24"/>
                <w:szCs w:val="24"/>
              </w:rPr>
              <w:t xml:space="preserve">Construction </w:t>
            </w:r>
            <w:r w:rsidR="00C83EE0">
              <w:rPr>
                <w:rFonts w:ascii="Tahoma" w:hAnsi="Tahoma" w:cs="Tahoma"/>
                <w:bCs/>
                <w:sz w:val="24"/>
                <w:szCs w:val="24"/>
              </w:rPr>
              <w:t>.</w:t>
            </w:r>
            <w:proofErr w:type="gramEnd"/>
          </w:p>
        </w:tc>
      </w:tr>
      <w:tr w:rsidR="00871E8F" w:rsidTr="003A54AA">
        <w:trPr>
          <w:trHeight w:val="5707"/>
        </w:trPr>
        <w:tc>
          <w:tcPr>
            <w:tcW w:w="2093" w:type="dxa"/>
          </w:tcPr>
          <w:p w:rsidR="00871E8F" w:rsidRPr="003A54AA" w:rsidRDefault="00871E8F" w:rsidP="003A54AA">
            <w:pPr>
              <w:pStyle w:val="ListParagraph"/>
              <w:numPr>
                <w:ilvl w:val="0"/>
                <w:numId w:val="11"/>
              </w:numPr>
              <w:autoSpaceDE w:val="0"/>
              <w:autoSpaceDN w:val="0"/>
              <w:adjustRightInd w:val="0"/>
              <w:rPr>
                <w:rFonts w:ascii="Tahoma" w:hAnsi="Tahoma" w:cs="Tahoma"/>
                <w:bCs/>
                <w:sz w:val="24"/>
                <w:szCs w:val="24"/>
              </w:rPr>
            </w:pPr>
            <w:r w:rsidRPr="003A54AA">
              <w:rPr>
                <w:rFonts w:ascii="Tahoma" w:hAnsi="Tahoma" w:cs="Tahoma"/>
                <w:bCs/>
                <w:sz w:val="24"/>
                <w:szCs w:val="24"/>
              </w:rPr>
              <w:t>Tertiary</w:t>
            </w:r>
          </w:p>
        </w:tc>
        <w:tc>
          <w:tcPr>
            <w:tcW w:w="7371" w:type="dxa"/>
          </w:tcPr>
          <w:p w:rsidR="00B36D60" w:rsidRPr="003A54AA" w:rsidRDefault="00B71BA3" w:rsidP="00B71BA3">
            <w:pPr>
              <w:pStyle w:val="ListParagraph"/>
              <w:numPr>
                <w:ilvl w:val="0"/>
                <w:numId w:val="12"/>
              </w:numPr>
              <w:autoSpaceDE w:val="0"/>
              <w:autoSpaceDN w:val="0"/>
              <w:adjustRightInd w:val="0"/>
              <w:rPr>
                <w:rFonts w:ascii="Tahoma" w:hAnsi="Tahoma" w:cs="Tahoma"/>
                <w:bCs/>
                <w:sz w:val="24"/>
                <w:szCs w:val="24"/>
              </w:rPr>
            </w:pPr>
            <w:r w:rsidRPr="003A54AA">
              <w:rPr>
                <w:rFonts w:ascii="Tahoma" w:hAnsi="Tahoma" w:cs="Tahoma"/>
                <w:bCs/>
                <w:sz w:val="24"/>
                <w:szCs w:val="24"/>
              </w:rPr>
              <w:t>Electricity</w:t>
            </w:r>
            <w:r w:rsidR="00B36D60" w:rsidRPr="003A54AA">
              <w:rPr>
                <w:rFonts w:ascii="Tahoma" w:hAnsi="Tahoma" w:cs="Tahoma"/>
                <w:bCs/>
                <w:sz w:val="24"/>
                <w:szCs w:val="24"/>
              </w:rPr>
              <w:t xml:space="preserve">, </w:t>
            </w:r>
            <w:r w:rsidR="00C83EE0">
              <w:rPr>
                <w:rFonts w:ascii="Tahoma" w:hAnsi="Tahoma" w:cs="Tahoma"/>
                <w:bCs/>
                <w:sz w:val="24"/>
                <w:szCs w:val="24"/>
              </w:rPr>
              <w:t>gas, steam and air conditioning.</w:t>
            </w:r>
          </w:p>
          <w:p w:rsidR="00871E8F" w:rsidRPr="003A54AA" w:rsidRDefault="00B36D60" w:rsidP="00B71BA3">
            <w:pPr>
              <w:pStyle w:val="ListParagraph"/>
              <w:numPr>
                <w:ilvl w:val="0"/>
                <w:numId w:val="12"/>
              </w:numPr>
              <w:autoSpaceDE w:val="0"/>
              <w:autoSpaceDN w:val="0"/>
              <w:adjustRightInd w:val="0"/>
              <w:rPr>
                <w:rFonts w:ascii="Tahoma" w:hAnsi="Tahoma" w:cs="Tahoma"/>
                <w:bCs/>
                <w:sz w:val="24"/>
                <w:szCs w:val="24"/>
              </w:rPr>
            </w:pPr>
            <w:r w:rsidRPr="003A54AA">
              <w:rPr>
                <w:rFonts w:ascii="Tahoma" w:hAnsi="Tahoma" w:cs="Tahoma"/>
                <w:bCs/>
                <w:sz w:val="24"/>
                <w:szCs w:val="24"/>
              </w:rPr>
              <w:t>W</w:t>
            </w:r>
            <w:r w:rsidR="00B71BA3" w:rsidRPr="003A54AA">
              <w:rPr>
                <w:rFonts w:ascii="Tahoma" w:hAnsi="Tahoma" w:cs="Tahoma"/>
                <w:bCs/>
                <w:sz w:val="24"/>
                <w:szCs w:val="24"/>
              </w:rPr>
              <w:t>ater supply</w:t>
            </w:r>
            <w:r w:rsidRPr="003A54AA">
              <w:rPr>
                <w:rFonts w:ascii="Tahoma" w:hAnsi="Tahoma" w:cs="Tahoma"/>
                <w:bCs/>
                <w:sz w:val="24"/>
                <w:szCs w:val="24"/>
              </w:rPr>
              <w:t>, sewerage, waste management and remediation activities.</w:t>
            </w:r>
          </w:p>
          <w:p w:rsidR="00B36D60"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G.</w:t>
            </w:r>
            <w:r w:rsidR="00E26789" w:rsidRPr="003A54AA">
              <w:rPr>
                <w:rFonts w:ascii="Tahoma" w:hAnsi="Tahoma" w:cs="Tahoma"/>
                <w:bCs/>
                <w:sz w:val="24"/>
                <w:szCs w:val="24"/>
              </w:rPr>
              <w:t xml:space="preserve"> </w:t>
            </w:r>
            <w:r w:rsidR="00B71BA3" w:rsidRPr="003A54AA">
              <w:rPr>
                <w:rFonts w:ascii="Tahoma" w:hAnsi="Tahoma" w:cs="Tahoma"/>
                <w:bCs/>
                <w:sz w:val="24"/>
                <w:szCs w:val="24"/>
              </w:rPr>
              <w:t xml:space="preserve">Wholesale and retail trade, motor vehicle and </w:t>
            </w:r>
            <w:r w:rsidR="00702DE6" w:rsidRPr="003A54AA">
              <w:rPr>
                <w:rFonts w:ascii="Tahoma" w:hAnsi="Tahoma" w:cs="Tahoma"/>
                <w:bCs/>
                <w:sz w:val="24"/>
                <w:szCs w:val="24"/>
              </w:rPr>
              <w:t xml:space="preserve">               </w:t>
            </w:r>
            <w:r w:rsidR="00B71BA3" w:rsidRPr="003A54AA">
              <w:rPr>
                <w:rFonts w:ascii="Tahoma" w:hAnsi="Tahoma" w:cs="Tahoma"/>
                <w:bCs/>
                <w:sz w:val="24"/>
                <w:szCs w:val="24"/>
              </w:rPr>
              <w:t>motorcycle repairs.</w:t>
            </w:r>
          </w:p>
          <w:p w:rsidR="00B71BA3"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H</w:t>
            </w:r>
            <w:r w:rsidR="00F15428" w:rsidRPr="003A54AA">
              <w:rPr>
                <w:rFonts w:ascii="Tahoma" w:hAnsi="Tahoma" w:cs="Tahoma"/>
                <w:bCs/>
                <w:sz w:val="24"/>
                <w:szCs w:val="24"/>
              </w:rPr>
              <w:t>.</w:t>
            </w:r>
            <w:r w:rsidRPr="003A54AA">
              <w:rPr>
                <w:rFonts w:ascii="Tahoma" w:hAnsi="Tahoma" w:cs="Tahoma"/>
                <w:bCs/>
                <w:sz w:val="24"/>
                <w:szCs w:val="24"/>
              </w:rPr>
              <w:t xml:space="preserve"> </w:t>
            </w:r>
            <w:r w:rsidR="00B71BA3" w:rsidRPr="003A54AA">
              <w:rPr>
                <w:rFonts w:ascii="Tahoma" w:hAnsi="Tahoma" w:cs="Tahoma"/>
                <w:bCs/>
                <w:sz w:val="24"/>
                <w:szCs w:val="24"/>
              </w:rPr>
              <w:t>Transport, storage and communications</w:t>
            </w:r>
            <w:r w:rsidR="00C83EE0">
              <w:rPr>
                <w:rFonts w:ascii="Tahoma" w:hAnsi="Tahoma" w:cs="Tahoma"/>
                <w:bCs/>
                <w:sz w:val="24"/>
                <w:szCs w:val="24"/>
              </w:rPr>
              <w:t>.</w:t>
            </w:r>
          </w:p>
          <w:p w:rsidR="00B36D60"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I</w:t>
            </w:r>
            <w:r w:rsidR="00F15428" w:rsidRPr="003A54AA">
              <w:rPr>
                <w:rFonts w:ascii="Tahoma" w:hAnsi="Tahoma" w:cs="Tahoma"/>
                <w:bCs/>
                <w:sz w:val="24"/>
                <w:szCs w:val="24"/>
              </w:rPr>
              <w:t>.</w:t>
            </w:r>
            <w:r w:rsidRPr="003A54AA">
              <w:rPr>
                <w:rFonts w:ascii="Tahoma" w:hAnsi="Tahoma" w:cs="Tahoma"/>
                <w:bCs/>
                <w:sz w:val="24"/>
                <w:szCs w:val="24"/>
              </w:rPr>
              <w:t xml:space="preserve"> Accommodation and food service activities.</w:t>
            </w:r>
          </w:p>
          <w:p w:rsidR="00B36D60"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J</w:t>
            </w:r>
            <w:r w:rsidR="00F15428" w:rsidRPr="003A54AA">
              <w:rPr>
                <w:rFonts w:ascii="Tahoma" w:hAnsi="Tahoma" w:cs="Tahoma"/>
                <w:bCs/>
                <w:sz w:val="24"/>
                <w:szCs w:val="24"/>
              </w:rPr>
              <w:t>.</w:t>
            </w:r>
            <w:r w:rsidRPr="003A54AA">
              <w:rPr>
                <w:rFonts w:ascii="Tahoma" w:hAnsi="Tahoma" w:cs="Tahoma"/>
                <w:bCs/>
                <w:sz w:val="24"/>
                <w:szCs w:val="24"/>
              </w:rPr>
              <w:t xml:space="preserve"> Information and Communication</w:t>
            </w:r>
            <w:r w:rsidR="00C83EE0">
              <w:rPr>
                <w:rFonts w:ascii="Tahoma" w:hAnsi="Tahoma" w:cs="Tahoma"/>
                <w:bCs/>
                <w:sz w:val="24"/>
                <w:szCs w:val="24"/>
              </w:rPr>
              <w:t>.</w:t>
            </w:r>
          </w:p>
          <w:p w:rsidR="00B36D60"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K</w:t>
            </w:r>
            <w:r w:rsidR="00F15428" w:rsidRPr="003A54AA">
              <w:rPr>
                <w:rFonts w:ascii="Tahoma" w:hAnsi="Tahoma" w:cs="Tahoma"/>
                <w:bCs/>
                <w:sz w:val="24"/>
                <w:szCs w:val="24"/>
              </w:rPr>
              <w:t>.</w:t>
            </w:r>
            <w:r w:rsidRPr="003A54AA">
              <w:rPr>
                <w:rFonts w:ascii="Tahoma" w:hAnsi="Tahoma" w:cs="Tahoma"/>
                <w:bCs/>
                <w:sz w:val="24"/>
                <w:szCs w:val="24"/>
              </w:rPr>
              <w:t xml:space="preserve"> Financial and insurance activities.</w:t>
            </w:r>
          </w:p>
          <w:p w:rsidR="00B71BA3"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L</w:t>
            </w:r>
            <w:r w:rsidR="006F4B97" w:rsidRPr="003A54AA">
              <w:rPr>
                <w:rFonts w:ascii="Tahoma" w:hAnsi="Tahoma" w:cs="Tahoma"/>
                <w:bCs/>
                <w:sz w:val="24"/>
                <w:szCs w:val="24"/>
              </w:rPr>
              <w:t>.</w:t>
            </w:r>
            <w:r w:rsidRPr="003A54AA">
              <w:rPr>
                <w:rFonts w:ascii="Tahoma" w:hAnsi="Tahoma" w:cs="Tahoma"/>
                <w:bCs/>
                <w:sz w:val="24"/>
                <w:szCs w:val="24"/>
              </w:rPr>
              <w:t xml:space="preserve"> Real estate activities.</w:t>
            </w:r>
          </w:p>
          <w:p w:rsidR="00B36D60" w:rsidRPr="003A54AA" w:rsidRDefault="00B36D60" w:rsidP="00B36D60">
            <w:pPr>
              <w:autoSpaceDE w:val="0"/>
              <w:autoSpaceDN w:val="0"/>
              <w:adjustRightInd w:val="0"/>
              <w:ind w:left="360"/>
              <w:rPr>
                <w:rFonts w:ascii="Tahoma" w:hAnsi="Tahoma" w:cs="Tahoma"/>
                <w:bCs/>
                <w:sz w:val="24"/>
                <w:szCs w:val="24"/>
              </w:rPr>
            </w:pPr>
            <w:r w:rsidRPr="003A54AA">
              <w:rPr>
                <w:rFonts w:ascii="Tahoma" w:hAnsi="Tahoma" w:cs="Tahoma"/>
                <w:bCs/>
                <w:sz w:val="24"/>
                <w:szCs w:val="24"/>
              </w:rPr>
              <w:t>M</w:t>
            </w:r>
            <w:r w:rsidR="006F4B97" w:rsidRPr="003A54AA">
              <w:rPr>
                <w:rFonts w:ascii="Tahoma" w:hAnsi="Tahoma" w:cs="Tahoma"/>
                <w:bCs/>
                <w:sz w:val="24"/>
                <w:szCs w:val="24"/>
              </w:rPr>
              <w:t>.</w:t>
            </w:r>
            <w:r w:rsidRPr="003A54AA">
              <w:rPr>
                <w:rFonts w:ascii="Tahoma" w:hAnsi="Tahoma" w:cs="Tahoma"/>
                <w:bCs/>
                <w:sz w:val="24"/>
                <w:szCs w:val="24"/>
              </w:rPr>
              <w:t xml:space="preserve"> Professional, scientific, and technical activities.</w:t>
            </w:r>
          </w:p>
          <w:p w:rsidR="00F15428" w:rsidRPr="003A54AA" w:rsidRDefault="00F15428" w:rsidP="00F15428">
            <w:pPr>
              <w:autoSpaceDE w:val="0"/>
              <w:autoSpaceDN w:val="0"/>
              <w:adjustRightInd w:val="0"/>
              <w:ind w:left="360"/>
              <w:rPr>
                <w:rFonts w:ascii="Tahoma" w:hAnsi="Tahoma" w:cs="Tahoma"/>
                <w:bCs/>
                <w:sz w:val="24"/>
                <w:szCs w:val="24"/>
              </w:rPr>
            </w:pPr>
            <w:r w:rsidRPr="003A54AA">
              <w:rPr>
                <w:rFonts w:ascii="Tahoma" w:hAnsi="Tahoma" w:cs="Tahoma"/>
                <w:bCs/>
                <w:sz w:val="24"/>
                <w:szCs w:val="24"/>
              </w:rPr>
              <w:t>N</w:t>
            </w:r>
            <w:r w:rsidR="006F4B97" w:rsidRPr="003A54AA">
              <w:rPr>
                <w:rFonts w:ascii="Tahoma" w:hAnsi="Tahoma" w:cs="Tahoma"/>
                <w:bCs/>
                <w:sz w:val="24"/>
                <w:szCs w:val="24"/>
              </w:rPr>
              <w:t>.</w:t>
            </w:r>
            <w:r w:rsidRPr="003A54AA">
              <w:rPr>
                <w:rFonts w:ascii="Tahoma" w:hAnsi="Tahoma" w:cs="Tahoma"/>
                <w:bCs/>
                <w:sz w:val="24"/>
                <w:szCs w:val="24"/>
              </w:rPr>
              <w:t xml:space="preserve"> Administration and support service activities</w:t>
            </w:r>
            <w:r w:rsidR="00C83EE0">
              <w:rPr>
                <w:rFonts w:ascii="Tahoma" w:hAnsi="Tahoma" w:cs="Tahoma"/>
                <w:bCs/>
                <w:sz w:val="24"/>
                <w:szCs w:val="24"/>
              </w:rPr>
              <w:t>.</w:t>
            </w:r>
          </w:p>
          <w:p w:rsidR="006F4B97" w:rsidRPr="003A54AA" w:rsidRDefault="00F15428"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O</w:t>
            </w:r>
            <w:r w:rsidR="006F4B97" w:rsidRPr="003A54AA">
              <w:rPr>
                <w:rFonts w:ascii="Tahoma" w:hAnsi="Tahoma" w:cs="Tahoma"/>
                <w:bCs/>
                <w:sz w:val="24"/>
                <w:szCs w:val="24"/>
              </w:rPr>
              <w:t>.</w:t>
            </w:r>
            <w:r w:rsidRPr="003A54AA">
              <w:rPr>
                <w:rFonts w:ascii="Tahoma" w:hAnsi="Tahoma" w:cs="Tahoma"/>
                <w:bCs/>
                <w:sz w:val="24"/>
                <w:szCs w:val="24"/>
              </w:rPr>
              <w:t xml:space="preserve"> </w:t>
            </w:r>
            <w:r w:rsidR="00B71BA3" w:rsidRPr="003A54AA">
              <w:rPr>
                <w:rFonts w:ascii="Tahoma" w:hAnsi="Tahoma" w:cs="Tahoma"/>
                <w:bCs/>
                <w:sz w:val="24"/>
                <w:szCs w:val="24"/>
              </w:rPr>
              <w:t>Public administration and defence, social security.</w:t>
            </w:r>
          </w:p>
          <w:p w:rsidR="006F4B97" w:rsidRPr="003A54AA" w:rsidRDefault="006F4B97"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 xml:space="preserve">P. </w:t>
            </w:r>
            <w:r w:rsidR="00B71BA3" w:rsidRPr="003A54AA">
              <w:rPr>
                <w:rFonts w:ascii="Tahoma" w:hAnsi="Tahoma" w:cs="Tahoma"/>
                <w:bCs/>
                <w:sz w:val="24"/>
                <w:szCs w:val="24"/>
              </w:rPr>
              <w:t>Education</w:t>
            </w:r>
            <w:r w:rsidR="00C83EE0">
              <w:rPr>
                <w:rFonts w:ascii="Tahoma" w:hAnsi="Tahoma" w:cs="Tahoma"/>
                <w:bCs/>
                <w:sz w:val="24"/>
                <w:szCs w:val="24"/>
              </w:rPr>
              <w:t>.</w:t>
            </w:r>
          </w:p>
          <w:p w:rsidR="00B71BA3" w:rsidRPr="003A54AA" w:rsidRDefault="006F4B97"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 xml:space="preserve">Q. Human </w:t>
            </w:r>
            <w:r w:rsidR="00B71BA3" w:rsidRPr="003A54AA">
              <w:rPr>
                <w:rFonts w:ascii="Tahoma" w:hAnsi="Tahoma" w:cs="Tahoma"/>
                <w:bCs/>
                <w:sz w:val="24"/>
                <w:szCs w:val="24"/>
              </w:rPr>
              <w:t>Health and social work.</w:t>
            </w:r>
          </w:p>
          <w:p w:rsidR="006F4B97" w:rsidRPr="003A54AA" w:rsidRDefault="006F4B97"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R. Arts, entertainment and recreation.</w:t>
            </w:r>
          </w:p>
          <w:p w:rsidR="006F4B97" w:rsidRPr="003A54AA" w:rsidRDefault="006F4B97"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S. Other service activities</w:t>
            </w:r>
            <w:r w:rsidR="00C83EE0">
              <w:rPr>
                <w:rFonts w:ascii="Tahoma" w:hAnsi="Tahoma" w:cs="Tahoma"/>
                <w:bCs/>
                <w:sz w:val="24"/>
                <w:szCs w:val="24"/>
              </w:rPr>
              <w:t>.</w:t>
            </w:r>
          </w:p>
          <w:p w:rsidR="006F4B97" w:rsidRPr="003A54AA" w:rsidRDefault="00BA7E46"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T. Activities of households as employers; undifferentiated goods and services producing activities of households for own use.</w:t>
            </w:r>
          </w:p>
          <w:p w:rsidR="006F4B97" w:rsidRPr="003A54AA" w:rsidRDefault="00BA7E46" w:rsidP="006F4B97">
            <w:pPr>
              <w:autoSpaceDE w:val="0"/>
              <w:autoSpaceDN w:val="0"/>
              <w:adjustRightInd w:val="0"/>
              <w:ind w:left="360"/>
              <w:rPr>
                <w:rFonts w:ascii="Tahoma" w:hAnsi="Tahoma" w:cs="Tahoma"/>
                <w:bCs/>
                <w:sz w:val="24"/>
                <w:szCs w:val="24"/>
              </w:rPr>
            </w:pPr>
            <w:r w:rsidRPr="003A54AA">
              <w:rPr>
                <w:rFonts w:ascii="Tahoma" w:hAnsi="Tahoma" w:cs="Tahoma"/>
                <w:bCs/>
                <w:sz w:val="24"/>
                <w:szCs w:val="24"/>
              </w:rPr>
              <w:t>U. Activities of extraterritorial organisations and bodies.</w:t>
            </w:r>
          </w:p>
        </w:tc>
      </w:tr>
    </w:tbl>
    <w:p w:rsidR="004D6034" w:rsidRDefault="004D6034" w:rsidP="000F346A">
      <w:pPr>
        <w:autoSpaceDE w:val="0"/>
        <w:autoSpaceDN w:val="0"/>
        <w:adjustRightInd w:val="0"/>
        <w:spacing w:after="0" w:line="240" w:lineRule="auto"/>
        <w:rPr>
          <w:rFonts w:ascii="Arial" w:hAnsi="Arial" w:cs="Arial"/>
          <w:b/>
          <w:bCs/>
          <w:sz w:val="24"/>
          <w:szCs w:val="24"/>
        </w:rPr>
      </w:pPr>
    </w:p>
    <w:p w:rsidR="00DC03A8" w:rsidRPr="003A54AA" w:rsidRDefault="00B71BA3" w:rsidP="000F346A">
      <w:pPr>
        <w:autoSpaceDE w:val="0"/>
        <w:autoSpaceDN w:val="0"/>
        <w:adjustRightInd w:val="0"/>
        <w:spacing w:after="0" w:line="240" w:lineRule="auto"/>
        <w:rPr>
          <w:rFonts w:ascii="Arial" w:hAnsi="Arial" w:cs="Arial"/>
          <w:bCs/>
          <w:sz w:val="16"/>
          <w:szCs w:val="16"/>
        </w:rPr>
      </w:pPr>
      <w:r w:rsidRPr="003A54AA">
        <w:rPr>
          <w:rFonts w:ascii="Arial" w:hAnsi="Arial" w:cs="Arial"/>
          <w:bCs/>
          <w:sz w:val="16"/>
          <w:szCs w:val="16"/>
        </w:rPr>
        <w:t>Note: the industry c</w:t>
      </w:r>
      <w:r w:rsidR="00D66AE6" w:rsidRPr="003A54AA">
        <w:rPr>
          <w:rFonts w:ascii="Arial" w:hAnsi="Arial" w:cs="Arial"/>
          <w:bCs/>
          <w:sz w:val="16"/>
          <w:szCs w:val="16"/>
        </w:rPr>
        <w:t>ategorisation is based on the UK</w:t>
      </w:r>
      <w:r w:rsidRPr="003A54AA">
        <w:rPr>
          <w:rFonts w:ascii="Arial" w:hAnsi="Arial" w:cs="Arial"/>
          <w:bCs/>
          <w:sz w:val="16"/>
          <w:szCs w:val="16"/>
        </w:rPr>
        <w:t xml:space="preserve"> Standard Industrial Classification Activities 2007 (SIC 2007).</w:t>
      </w:r>
    </w:p>
    <w:sectPr w:rsidR="00DC03A8" w:rsidRPr="003A54AA" w:rsidSect="00A46153">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F6" w:rsidRDefault="00AF21F6" w:rsidP="002C0A05">
      <w:pPr>
        <w:spacing w:after="0" w:line="240" w:lineRule="auto"/>
      </w:pPr>
      <w:r>
        <w:separator/>
      </w:r>
    </w:p>
  </w:endnote>
  <w:endnote w:type="continuationSeparator" w:id="0">
    <w:p w:rsidR="00AF21F6" w:rsidRDefault="00AF21F6" w:rsidP="002C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651061"/>
      <w:docPartObj>
        <w:docPartGallery w:val="Page Numbers (Bottom of Page)"/>
        <w:docPartUnique/>
      </w:docPartObj>
    </w:sdtPr>
    <w:sdtEndPr>
      <w:rPr>
        <w:noProof/>
      </w:rPr>
    </w:sdtEndPr>
    <w:sdtContent>
      <w:p w:rsidR="00AF21F6" w:rsidRDefault="00AF21F6">
        <w:pPr>
          <w:pStyle w:val="Footer"/>
          <w:jc w:val="right"/>
        </w:pPr>
        <w:r>
          <w:fldChar w:fldCharType="begin"/>
        </w:r>
        <w:r>
          <w:instrText xml:space="preserve"> PAGE   \* MERGEFORMAT </w:instrText>
        </w:r>
        <w:r>
          <w:fldChar w:fldCharType="separate"/>
        </w:r>
        <w:r w:rsidR="00E56B07">
          <w:rPr>
            <w:noProof/>
          </w:rPr>
          <w:t>20</w:t>
        </w:r>
        <w:r>
          <w:rPr>
            <w:noProof/>
          </w:rPr>
          <w:fldChar w:fldCharType="end"/>
        </w:r>
      </w:p>
    </w:sdtContent>
  </w:sdt>
  <w:p w:rsidR="00AF21F6" w:rsidRDefault="00AF2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F6" w:rsidRDefault="00AF21F6" w:rsidP="002C0A05">
      <w:pPr>
        <w:spacing w:after="0" w:line="240" w:lineRule="auto"/>
      </w:pPr>
      <w:r>
        <w:separator/>
      </w:r>
    </w:p>
  </w:footnote>
  <w:footnote w:type="continuationSeparator" w:id="0">
    <w:p w:rsidR="00AF21F6" w:rsidRDefault="00AF21F6" w:rsidP="002C0A05">
      <w:pPr>
        <w:spacing w:after="0" w:line="240" w:lineRule="auto"/>
      </w:pPr>
      <w:r>
        <w:continuationSeparator/>
      </w:r>
    </w:p>
  </w:footnote>
  <w:footnote w:id="1">
    <w:p w:rsidR="00AF21F6" w:rsidRDefault="00AF21F6">
      <w:pPr>
        <w:pStyle w:val="FootnoteText"/>
      </w:pPr>
      <w:r>
        <w:rPr>
          <w:rStyle w:val="FootnoteReference"/>
        </w:rPr>
        <w:footnoteRef/>
      </w:r>
      <w:r>
        <w:t xml:space="preserve"> The RDS Spatial Framework identifies hubs and clusters of </w:t>
      </w:r>
      <w:proofErr w:type="gramStart"/>
      <w:r>
        <w:t>hubs,</w:t>
      </w:r>
      <w:proofErr w:type="gramEnd"/>
      <w:r>
        <w:t xml:space="preserve"> these consist of the main and local towns located on the Regional Strategic Transport Network, which play a strategic role as centres of employment and services for both urban and rural communities.</w:t>
      </w:r>
    </w:p>
  </w:footnote>
  <w:footnote w:id="2">
    <w:p w:rsidR="00AF21F6" w:rsidRDefault="00AF21F6">
      <w:pPr>
        <w:pStyle w:val="FootnoteText"/>
      </w:pPr>
      <w:r>
        <w:rPr>
          <w:rStyle w:val="FootnoteReference"/>
        </w:rPr>
        <w:footnoteRef/>
      </w:r>
      <w:r>
        <w:t xml:space="preserve"> Transitional arrangements as set out in the SPPS</w:t>
      </w:r>
    </w:p>
  </w:footnote>
  <w:footnote w:id="3">
    <w:p w:rsidR="00AF21F6" w:rsidRDefault="00AF21F6" w:rsidP="008738BB">
      <w:pPr>
        <w:pStyle w:val="FootnoteText"/>
      </w:pPr>
      <w:r>
        <w:rPr>
          <w:rStyle w:val="FootnoteReference"/>
        </w:rPr>
        <w:footnoteRef/>
      </w:r>
      <w:r>
        <w:t xml:space="preserve"> </w:t>
      </w:r>
      <w:proofErr w:type="gramStart"/>
      <w:r>
        <w:t>Oxford Economics.</w:t>
      </w:r>
      <w:proofErr w:type="gramEnd"/>
      <w:r>
        <w:t xml:space="preserve"> Northern Ireland Economy in Transition: Future Drivers, Challenges, Impacts and issues</w:t>
      </w:r>
    </w:p>
    <w:p w:rsidR="00AF21F6" w:rsidRDefault="00AF21F6" w:rsidP="008738BB">
      <w:pPr>
        <w:pStyle w:val="FootnoteText"/>
      </w:pPr>
      <w:proofErr w:type="gramStart"/>
      <w:r>
        <w:t>for</w:t>
      </w:r>
      <w:proofErr w:type="gramEnd"/>
      <w:r>
        <w:t xml:space="preserve"> Policy Consideration.</w:t>
      </w:r>
    </w:p>
  </w:footnote>
  <w:footnote w:id="4">
    <w:p w:rsidR="00AF21F6" w:rsidRDefault="00AF21F6">
      <w:pPr>
        <w:pStyle w:val="FootnoteText"/>
      </w:pPr>
      <w:r>
        <w:rPr>
          <w:rStyle w:val="FootnoteReference"/>
        </w:rPr>
        <w:footnoteRef/>
      </w:r>
      <w:r>
        <w:t xml:space="preserve"> </w:t>
      </w:r>
      <w:r w:rsidRPr="007F289B">
        <w:t xml:space="preserve">The Oxford Dictionary defines the ‘knowledge economy’ as an economy in which growth is </w:t>
      </w:r>
      <w:proofErr w:type="spellStart"/>
      <w:r w:rsidRPr="007F289B">
        <w:t>dependant</w:t>
      </w:r>
      <w:proofErr w:type="spellEnd"/>
      <w:r w:rsidRPr="007F289B">
        <w:t xml:space="preserve"> on the quantity, quality and accessibility of the information available, rather than the means of production.</w:t>
      </w:r>
    </w:p>
  </w:footnote>
  <w:footnote w:id="5">
    <w:p w:rsidR="00AF21F6" w:rsidRDefault="00AF21F6">
      <w:pPr>
        <w:pStyle w:val="FootnoteText"/>
      </w:pPr>
      <w:r>
        <w:rPr>
          <w:rStyle w:val="FootnoteReference"/>
        </w:rPr>
        <w:footnoteRef/>
      </w:r>
      <w:r>
        <w:t xml:space="preserve"> </w:t>
      </w:r>
      <w:r w:rsidRPr="008738BB">
        <w:t>Northern Ireland Centre for Economic Policy (NICEP), Outlook:Spring 2014</w:t>
      </w:r>
    </w:p>
  </w:footnote>
  <w:footnote w:id="6">
    <w:p w:rsidR="00AF21F6" w:rsidRDefault="00AF21F6" w:rsidP="008738BB">
      <w:pPr>
        <w:pStyle w:val="FootnoteText"/>
      </w:pPr>
      <w:r>
        <w:rPr>
          <w:rStyle w:val="FootnoteReference"/>
        </w:rPr>
        <w:footnoteRef/>
      </w:r>
      <w:r>
        <w:t xml:space="preserve"> Enabling Success – Supporting the transition from economic inactivity to employment. </w:t>
      </w:r>
      <w:proofErr w:type="gramStart"/>
      <w:r>
        <w:t>A strategy to tackle economic inactivity in Northern Ireland.</w:t>
      </w:r>
      <w:proofErr w:type="gramEnd"/>
      <w:r>
        <w:t xml:space="preserve"> DELNI and DETI (April 2015).</w:t>
      </w:r>
    </w:p>
  </w:footnote>
  <w:footnote w:id="7">
    <w:p w:rsidR="00AF21F6" w:rsidRDefault="00AF21F6">
      <w:pPr>
        <w:pStyle w:val="FootnoteText"/>
      </w:pPr>
      <w:r>
        <w:rPr>
          <w:rStyle w:val="FootnoteReference"/>
        </w:rPr>
        <w:footnoteRef/>
      </w:r>
      <w:r>
        <w:t xml:space="preserve"> </w:t>
      </w:r>
      <w:r w:rsidRPr="004D4DAE">
        <w:t>Source: http://www.detini.gov.uk/facts_and_figures_edition_16_-_2.pdf?rev=0</w:t>
      </w:r>
    </w:p>
  </w:footnote>
  <w:footnote w:id="8">
    <w:p w:rsidR="00AF21F6" w:rsidRDefault="00AF21F6">
      <w:pPr>
        <w:pStyle w:val="FootnoteText"/>
      </w:pPr>
      <w:r>
        <w:rPr>
          <w:rStyle w:val="FootnoteReference"/>
        </w:rPr>
        <w:footnoteRef/>
      </w:r>
      <w:r>
        <w:t xml:space="preserve"> UK Sea Fisheries Annual Statistics Report 2013</w:t>
      </w:r>
    </w:p>
  </w:footnote>
  <w:footnote w:id="9">
    <w:p w:rsidR="00AF21F6" w:rsidRDefault="00AF21F6">
      <w:pPr>
        <w:pStyle w:val="FootnoteText"/>
      </w:pPr>
      <w:r>
        <w:rPr>
          <w:rStyle w:val="FootnoteReference"/>
        </w:rPr>
        <w:footnoteRef/>
      </w:r>
      <w:r>
        <w:t xml:space="preserve"> </w:t>
      </w:r>
      <w:r w:rsidRPr="002F4436">
        <w:t>NISRA Census of Employment September 2013.</w:t>
      </w:r>
    </w:p>
  </w:footnote>
  <w:footnote w:id="10">
    <w:p w:rsidR="00AF21F6" w:rsidRDefault="00AF21F6">
      <w:pPr>
        <w:pStyle w:val="FootnoteText"/>
      </w:pPr>
      <w:r>
        <w:rPr>
          <w:rStyle w:val="FootnoteReference"/>
        </w:rPr>
        <w:footnoteRef/>
      </w:r>
      <w:r>
        <w:t xml:space="preserve"> NISRA Northern Ireland Local Government District Tourism Statistics 2014 (published 30 July 2015)</w:t>
      </w:r>
      <w:r w:rsidRPr="007256BF">
        <w:t>.</w:t>
      </w:r>
    </w:p>
  </w:footnote>
  <w:footnote w:id="11">
    <w:p w:rsidR="00AF21F6" w:rsidRDefault="00AF21F6">
      <w:pPr>
        <w:pStyle w:val="FootnoteText"/>
      </w:pPr>
      <w:r>
        <w:rPr>
          <w:rStyle w:val="FootnoteReference"/>
        </w:rPr>
        <w:footnoteRef/>
      </w:r>
      <w:r>
        <w:t xml:space="preserve"> </w:t>
      </w:r>
      <w:r w:rsidRPr="00334B60">
        <w:t>Inter Departmental Business Register (IDBR) – Edition 17 4th Feb 2015</w:t>
      </w:r>
    </w:p>
  </w:footnote>
  <w:footnote w:id="12">
    <w:p w:rsidR="00AF21F6" w:rsidRDefault="00AF21F6">
      <w:pPr>
        <w:pStyle w:val="FootnoteText"/>
      </w:pPr>
      <w:r>
        <w:rPr>
          <w:rStyle w:val="FootnoteReference"/>
        </w:rPr>
        <w:footnoteRef/>
      </w:r>
      <w:r>
        <w:t xml:space="preserve"> </w:t>
      </w:r>
      <w:r w:rsidRPr="00334B60">
        <w:t>DETI, Business Demography 2013</w:t>
      </w:r>
    </w:p>
  </w:footnote>
  <w:footnote w:id="13">
    <w:p w:rsidR="00AF21F6" w:rsidRDefault="00AF21F6">
      <w:pPr>
        <w:pStyle w:val="FootnoteText"/>
      </w:pPr>
      <w:r>
        <w:rPr>
          <w:rStyle w:val="FootnoteReference"/>
        </w:rPr>
        <w:footnoteRef/>
      </w:r>
      <w:r>
        <w:t xml:space="preserve"> NISRA Census Definitions and Output Classifications 2011</w:t>
      </w:r>
    </w:p>
  </w:footnote>
  <w:footnote w:id="14">
    <w:p w:rsidR="00AF21F6" w:rsidRDefault="00AF21F6">
      <w:pPr>
        <w:pStyle w:val="FootnoteText"/>
      </w:pPr>
      <w:r>
        <w:rPr>
          <w:rStyle w:val="FootnoteReference"/>
        </w:rPr>
        <w:footnoteRef/>
      </w:r>
      <w:r>
        <w:t xml:space="preserve"> DETI (NI) Quarterly Labour Market Report uses the 16-64 age group and therefore differs </w:t>
      </w:r>
      <w:proofErr w:type="gramStart"/>
      <w:r>
        <w:t>from  the</w:t>
      </w:r>
      <w:proofErr w:type="gramEnd"/>
      <w:r>
        <w:t xml:space="preserve"> economically active 16-74 age group contained in census.</w:t>
      </w:r>
    </w:p>
  </w:footnote>
  <w:footnote w:id="15">
    <w:p w:rsidR="00AF21F6" w:rsidRDefault="00AF21F6">
      <w:pPr>
        <w:pStyle w:val="FootnoteText"/>
      </w:pPr>
      <w:r>
        <w:rPr>
          <w:rStyle w:val="FootnoteReference"/>
        </w:rPr>
        <w:footnoteRef/>
      </w:r>
      <w:r>
        <w:t xml:space="preserve"> </w:t>
      </w:r>
      <w:r w:rsidRPr="00B83CC6">
        <w:t>http://www.detini.gov.uk/women_in_northern_ireland_2014.pdf?rev=0</w:t>
      </w:r>
    </w:p>
  </w:footnote>
  <w:footnote w:id="16">
    <w:p w:rsidR="00AF21F6" w:rsidRDefault="00AF21F6">
      <w:pPr>
        <w:pStyle w:val="FootnoteText"/>
      </w:pPr>
      <w:r>
        <w:rPr>
          <w:rStyle w:val="FootnoteReference"/>
        </w:rPr>
        <w:footnoteRef/>
      </w:r>
      <w:r>
        <w:t xml:space="preserve"> Based on the combined NMC and DDC figures</w:t>
      </w:r>
    </w:p>
  </w:footnote>
  <w:footnote w:id="17">
    <w:p w:rsidR="00AF21F6" w:rsidRDefault="00AF21F6">
      <w:pPr>
        <w:pStyle w:val="FootnoteText"/>
      </w:pPr>
      <w:r>
        <w:rPr>
          <w:rStyle w:val="FootnoteReference"/>
        </w:rPr>
        <w:footnoteRef/>
      </w:r>
      <w:r>
        <w:t xml:space="preserve"> </w:t>
      </w:r>
      <w:r w:rsidRPr="00B83CC6">
        <w:t>DETI Census of Employment 2013</w:t>
      </w:r>
    </w:p>
  </w:footnote>
  <w:footnote w:id="18">
    <w:p w:rsidR="00AF21F6" w:rsidRDefault="00AF21F6" w:rsidP="00B83CC6">
      <w:pPr>
        <w:pStyle w:val="FootnoteText"/>
      </w:pPr>
      <w:r>
        <w:rPr>
          <w:rStyle w:val="FootnoteReference"/>
        </w:rPr>
        <w:footnoteRef/>
      </w:r>
      <w:r>
        <w:t xml:space="preserve"> </w:t>
      </w:r>
      <w:r w:rsidRPr="00B83CC6">
        <w:t>http://www.ninis2.nisra.gov.uk/public/Theme.aspx?themeNumber=18&amp;themeName=Labour%20Market</w:t>
      </w:r>
    </w:p>
  </w:footnote>
  <w:footnote w:id="19">
    <w:p w:rsidR="00AF21F6" w:rsidRDefault="00AF21F6">
      <w:pPr>
        <w:pStyle w:val="FootnoteText"/>
      </w:pPr>
      <w:r>
        <w:rPr>
          <w:rStyle w:val="FootnoteReference"/>
        </w:rPr>
        <w:footnoteRef/>
      </w:r>
      <w:r>
        <w:t xml:space="preserve"> </w:t>
      </w:r>
      <w:r w:rsidRPr="002E5190">
        <w:t>http://www.detini.gov.uk/labour_market_report_-_april_2015__final_-2.pdf?rev=0</w:t>
      </w:r>
    </w:p>
  </w:footnote>
  <w:footnote w:id="20">
    <w:p w:rsidR="00AF21F6" w:rsidRDefault="00AF21F6" w:rsidP="00616107">
      <w:pPr>
        <w:pStyle w:val="FootnoteText"/>
      </w:pPr>
      <w:r>
        <w:rPr>
          <w:rStyle w:val="FootnoteReference"/>
        </w:rPr>
        <w:footnoteRef/>
      </w:r>
      <w:r>
        <w:t xml:space="preserve"> Oxford Economics: Northern Ireland Economy in Transition: Future Drivers, Challenges, Impacts and issues</w:t>
      </w:r>
    </w:p>
    <w:p w:rsidR="00AF21F6" w:rsidRDefault="00AF21F6" w:rsidP="00616107">
      <w:pPr>
        <w:pStyle w:val="FootnoteText"/>
      </w:pPr>
      <w:r>
        <w:t>for Policy Consideration</w:t>
      </w:r>
    </w:p>
  </w:footnote>
  <w:footnote w:id="21">
    <w:p w:rsidR="00AF21F6" w:rsidRDefault="00AF21F6">
      <w:pPr>
        <w:pStyle w:val="FootnoteText"/>
      </w:pPr>
      <w:r>
        <w:rPr>
          <w:rStyle w:val="FootnoteReference"/>
        </w:rPr>
        <w:footnoteRef/>
      </w:r>
      <w:r>
        <w:t xml:space="preserve"> NISRA school leavers (administrative geographies) survey 2011-12</w:t>
      </w:r>
    </w:p>
  </w:footnote>
  <w:footnote w:id="22">
    <w:p w:rsidR="00AF21F6" w:rsidRDefault="00AF21F6">
      <w:pPr>
        <w:pStyle w:val="FootnoteText"/>
      </w:pPr>
      <w:r>
        <w:rPr>
          <w:rStyle w:val="FootnoteReference"/>
        </w:rPr>
        <w:footnoteRef/>
      </w:r>
      <w:r>
        <w:t xml:space="preserve"> Sustainable </w:t>
      </w:r>
      <w:proofErr w:type="spellStart"/>
      <w:r>
        <w:t>Kilkeel</w:t>
      </w:r>
      <w:proofErr w:type="spellEnd"/>
      <w:r>
        <w:t xml:space="preserve"> 2020 &amp; South East Coast </w:t>
      </w:r>
      <w:proofErr w:type="spellStart"/>
      <w:r>
        <w:t>Masterplan</w:t>
      </w:r>
      <w:proofErr w:type="spellEnd"/>
    </w:p>
  </w:footnote>
  <w:footnote w:id="23">
    <w:p w:rsidR="00AF21F6" w:rsidRDefault="00AF21F6">
      <w:pPr>
        <w:pStyle w:val="FootnoteText"/>
      </w:pPr>
      <w:r>
        <w:rPr>
          <w:rStyle w:val="FootnoteReference"/>
        </w:rPr>
        <w:footnoteRef/>
      </w:r>
      <w:r>
        <w:t xml:space="preserve"> Nick Medic Director of offshore renewables at </w:t>
      </w:r>
      <w:proofErr w:type="spellStart"/>
      <w:r>
        <w:t>RenewablesUK</w:t>
      </w:r>
      <w:proofErr w:type="spellEnd"/>
      <w:r>
        <w:t xml:space="preserve"> (</w:t>
      </w:r>
      <w:r w:rsidRPr="00217569">
        <w:t>http://www.businessgreen.com/bg/news/2384460/northern-irelands-only-offshore-wind-project-scrapped</w:t>
      </w:r>
      <w:r>
        <w:t>)</w:t>
      </w:r>
    </w:p>
  </w:footnote>
  <w:footnote w:id="24">
    <w:p w:rsidR="00AF21F6" w:rsidRDefault="00AF21F6">
      <w:pPr>
        <w:pStyle w:val="FootnoteText"/>
      </w:pPr>
      <w:r>
        <w:rPr>
          <w:rStyle w:val="FootnoteReference"/>
        </w:rPr>
        <w:footnoteRef/>
      </w:r>
      <w:r>
        <w:t xml:space="preserve"> DRD Connectivity Review 2014</w:t>
      </w:r>
    </w:p>
  </w:footnote>
  <w:footnote w:id="25">
    <w:p w:rsidR="00AF21F6" w:rsidRDefault="00AF21F6">
      <w:pPr>
        <w:pStyle w:val="FootnoteText"/>
      </w:pPr>
      <w:r>
        <w:rPr>
          <w:rStyle w:val="FootnoteReference"/>
        </w:rPr>
        <w:footnoteRef/>
      </w:r>
      <w:r>
        <w:t xml:space="preserve"> NISRA Statistics Bulletin - Northern Ireland Ports Traffic 2013</w:t>
      </w:r>
    </w:p>
  </w:footnote>
  <w:footnote w:id="26">
    <w:p w:rsidR="00AF21F6" w:rsidRDefault="00AF21F6">
      <w:pPr>
        <w:pStyle w:val="FootnoteText"/>
      </w:pPr>
      <w:r>
        <w:rPr>
          <w:rStyle w:val="FootnoteReference"/>
        </w:rPr>
        <w:footnoteRef/>
      </w:r>
      <w:r>
        <w:t xml:space="preserve"> Strategic long distance routes, forming part of the Regional Strategic Transport Network (RSTN) which </w:t>
      </w:r>
      <w:proofErr w:type="gramStart"/>
      <w:r>
        <w:t>connect</w:t>
      </w:r>
      <w:proofErr w:type="gramEnd"/>
      <w:r>
        <w:t xml:space="preserve"> a number of towns to the major regional gateways.</w:t>
      </w:r>
    </w:p>
  </w:footnote>
  <w:footnote w:id="27">
    <w:p w:rsidR="00AF21F6" w:rsidRDefault="00AF21F6">
      <w:pPr>
        <w:pStyle w:val="FootnoteText"/>
      </w:pPr>
      <w:r>
        <w:rPr>
          <w:rStyle w:val="FootnoteReference"/>
        </w:rPr>
        <w:footnoteRef/>
      </w:r>
      <w:r>
        <w:t xml:space="preserve"> </w:t>
      </w:r>
      <w:r w:rsidRPr="001F061D">
        <w:t>This term refers to unde</w:t>
      </w:r>
      <w:r>
        <w:t xml:space="preserve">veloped land </w:t>
      </w:r>
      <w:r w:rsidRPr="001F061D">
        <w:t xml:space="preserve">within a </w:t>
      </w:r>
      <w:r>
        <w:t xml:space="preserve">settlement </w:t>
      </w:r>
      <w:r w:rsidRPr="001F061D">
        <w:t>d</w:t>
      </w:r>
      <w:r>
        <w:t>evelopment limit which is</w:t>
      </w:r>
      <w:r w:rsidRPr="001F061D">
        <w:t xml:space="preserve"> not zoned for a</w:t>
      </w:r>
      <w:r>
        <w:t>ny</w:t>
      </w:r>
      <w:r w:rsidRPr="001F061D">
        <w:t xml:space="preserve"> specific use. White</w:t>
      </w:r>
      <w:r>
        <w:t xml:space="preserve"> </w:t>
      </w:r>
      <w:r w:rsidRPr="001F061D">
        <w:t>land sites may be able to accommodate</w:t>
      </w:r>
      <w:r>
        <w:t xml:space="preserve"> a range of different land uses.</w:t>
      </w:r>
    </w:p>
  </w:footnote>
  <w:footnote w:id="28">
    <w:p w:rsidR="00AF21F6" w:rsidRDefault="00AF21F6">
      <w:pPr>
        <w:pStyle w:val="FootnoteText"/>
      </w:pPr>
      <w:r>
        <w:rPr>
          <w:rStyle w:val="FootnoteReference"/>
        </w:rPr>
        <w:footnoteRef/>
      </w:r>
      <w:r>
        <w:t xml:space="preserve"> Proposals for the </w:t>
      </w:r>
      <w:proofErr w:type="spellStart"/>
      <w:r>
        <w:t>Ballynahinch</w:t>
      </w:r>
      <w:proofErr w:type="spellEnd"/>
      <w:r>
        <w:t xml:space="preserve"> bypass including an Environmental Statement published by Transport NI in March 2015.</w:t>
      </w:r>
    </w:p>
  </w:footnote>
  <w:footnote w:id="29">
    <w:p w:rsidR="00AF21F6" w:rsidRDefault="00AF21F6">
      <w:pPr>
        <w:pStyle w:val="FootnoteText"/>
      </w:pPr>
      <w:r>
        <w:rPr>
          <w:rStyle w:val="FootnoteReference"/>
        </w:rPr>
        <w:footnoteRef/>
      </w:r>
      <w:r>
        <w:t xml:space="preserve"> The </w:t>
      </w:r>
      <w:proofErr w:type="spellStart"/>
      <w:r>
        <w:t>unzoned</w:t>
      </w:r>
      <w:proofErr w:type="spellEnd"/>
      <w:r>
        <w:t xml:space="preserve"> Invest NI industrial </w:t>
      </w:r>
      <w:proofErr w:type="gramStart"/>
      <w:r>
        <w:t>estate off the Belfast Road in Downpatrick have</w:t>
      </w:r>
      <w:proofErr w:type="gramEnd"/>
      <w:r>
        <w:t xml:space="preserve"> however been included.</w:t>
      </w:r>
    </w:p>
  </w:footnote>
  <w:footnote w:id="30">
    <w:p w:rsidR="00AF21F6" w:rsidRDefault="00AF21F6">
      <w:pPr>
        <w:pStyle w:val="FootnoteText"/>
      </w:pPr>
      <w:r>
        <w:rPr>
          <w:rStyle w:val="FootnoteReference"/>
        </w:rPr>
        <w:footnoteRef/>
      </w:r>
      <w:r>
        <w:t xml:space="preserve"> </w:t>
      </w:r>
      <w:r w:rsidRPr="00F207BE">
        <w:t>NISR</w:t>
      </w:r>
      <w:r>
        <w:t>A population projections within NI</w:t>
      </w:r>
      <w:r w:rsidRPr="00F207BE">
        <w:t xml:space="preserve">, </w:t>
      </w:r>
      <w:r>
        <w:t xml:space="preserve">see </w:t>
      </w:r>
      <w:r w:rsidRPr="00F207BE">
        <w:t>http://www.nisra.gov.uk/demography/default.asp47.htm</w:t>
      </w:r>
    </w:p>
  </w:footnote>
  <w:footnote w:id="31">
    <w:p w:rsidR="00AF21F6" w:rsidRDefault="00AF21F6">
      <w:pPr>
        <w:pStyle w:val="FootnoteText"/>
      </w:pPr>
      <w:r>
        <w:rPr>
          <w:rStyle w:val="FootnoteReference"/>
        </w:rPr>
        <w:footnoteRef/>
      </w:r>
      <w:r>
        <w:t xml:space="preserve"> Business Parks Research Study March 2003 </w:t>
      </w:r>
    </w:p>
  </w:footnote>
  <w:footnote w:id="32">
    <w:p w:rsidR="00AF21F6" w:rsidRDefault="00AF21F6">
      <w:pPr>
        <w:pStyle w:val="FootnoteText"/>
      </w:pPr>
      <w:r>
        <w:rPr>
          <w:rStyle w:val="FootnoteReference"/>
        </w:rPr>
        <w:footnoteRef/>
      </w:r>
      <w:r>
        <w:t xml:space="preserve"> Belfast Road, Downpatrick</w:t>
      </w:r>
    </w:p>
  </w:footnote>
  <w:footnote w:id="33">
    <w:p w:rsidR="00AF21F6" w:rsidRDefault="00AF21F6">
      <w:pPr>
        <w:pStyle w:val="FootnoteText"/>
      </w:pPr>
      <w:r>
        <w:rPr>
          <w:rStyle w:val="FootnoteReference"/>
        </w:rPr>
        <w:footnoteRef/>
      </w:r>
      <w:r>
        <w:t xml:space="preserve"> Census 2011 - Headcount and Household estimates for settlements </w:t>
      </w:r>
    </w:p>
  </w:footnote>
  <w:footnote w:id="34">
    <w:p w:rsidR="00AF21F6" w:rsidRDefault="00AF21F6">
      <w:pPr>
        <w:pStyle w:val="FootnoteText"/>
      </w:pPr>
      <w:r>
        <w:rPr>
          <w:rStyle w:val="FootnoteReference"/>
        </w:rPr>
        <w:footnoteRef/>
      </w:r>
      <w:r>
        <w:t xml:space="preserve"> As used in the 2011 Census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F00"/>
    <w:multiLevelType w:val="hybridMultilevel"/>
    <w:tmpl w:val="3350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E3700C"/>
    <w:multiLevelType w:val="hybridMultilevel"/>
    <w:tmpl w:val="C2443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26642E"/>
    <w:multiLevelType w:val="hybridMultilevel"/>
    <w:tmpl w:val="F4D8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B60726"/>
    <w:multiLevelType w:val="hybridMultilevel"/>
    <w:tmpl w:val="D266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D20BE6"/>
    <w:multiLevelType w:val="multilevel"/>
    <w:tmpl w:val="E300242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C74496B"/>
    <w:multiLevelType w:val="hybridMultilevel"/>
    <w:tmpl w:val="D60C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FD30D7"/>
    <w:multiLevelType w:val="hybridMultilevel"/>
    <w:tmpl w:val="5498BC56"/>
    <w:lvl w:ilvl="0" w:tplc="D72EB31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296E54"/>
    <w:multiLevelType w:val="hybridMultilevel"/>
    <w:tmpl w:val="A010FEB8"/>
    <w:lvl w:ilvl="0" w:tplc="6EE6EDF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A9058C"/>
    <w:multiLevelType w:val="hybridMultilevel"/>
    <w:tmpl w:val="4030F4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F688A"/>
    <w:multiLevelType w:val="hybridMultilevel"/>
    <w:tmpl w:val="4FBC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3F3637"/>
    <w:multiLevelType w:val="hybridMultilevel"/>
    <w:tmpl w:val="2B523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87335"/>
    <w:multiLevelType w:val="hybridMultilevel"/>
    <w:tmpl w:val="28D85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67585F"/>
    <w:multiLevelType w:val="hybridMultilevel"/>
    <w:tmpl w:val="F50C6BCA"/>
    <w:lvl w:ilvl="0" w:tplc="D72EB31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B10947"/>
    <w:multiLevelType w:val="hybridMultilevel"/>
    <w:tmpl w:val="C914C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221621"/>
    <w:multiLevelType w:val="hybridMultilevel"/>
    <w:tmpl w:val="33EA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BE3E43"/>
    <w:multiLevelType w:val="hybridMultilevel"/>
    <w:tmpl w:val="B3A4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033A65"/>
    <w:multiLevelType w:val="hybridMultilevel"/>
    <w:tmpl w:val="CC5A4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D21C71"/>
    <w:multiLevelType w:val="hybridMultilevel"/>
    <w:tmpl w:val="87B48512"/>
    <w:lvl w:ilvl="0" w:tplc="D72EB31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F51E3A"/>
    <w:multiLevelType w:val="hybridMultilevel"/>
    <w:tmpl w:val="7D40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6"/>
  </w:num>
  <w:num w:numId="5">
    <w:abstractNumId w:val="7"/>
  </w:num>
  <w:num w:numId="6">
    <w:abstractNumId w:val="12"/>
  </w:num>
  <w:num w:numId="7">
    <w:abstractNumId w:val="17"/>
  </w:num>
  <w:num w:numId="8">
    <w:abstractNumId w:val="14"/>
  </w:num>
  <w:num w:numId="9">
    <w:abstractNumId w:val="0"/>
  </w:num>
  <w:num w:numId="10">
    <w:abstractNumId w:val="5"/>
  </w:num>
  <w:num w:numId="11">
    <w:abstractNumId w:val="1"/>
  </w:num>
  <w:num w:numId="12">
    <w:abstractNumId w:val="8"/>
  </w:num>
  <w:num w:numId="13">
    <w:abstractNumId w:val="4"/>
  </w:num>
  <w:num w:numId="14">
    <w:abstractNumId w:val="15"/>
  </w:num>
  <w:num w:numId="15">
    <w:abstractNumId w:val="2"/>
  </w:num>
  <w:num w:numId="16">
    <w:abstractNumId w:val="18"/>
  </w:num>
  <w:num w:numId="17">
    <w:abstractNumId w:val="1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FE"/>
    <w:rsid w:val="00001E96"/>
    <w:rsid w:val="00003A04"/>
    <w:rsid w:val="0000581F"/>
    <w:rsid w:val="00005F5D"/>
    <w:rsid w:val="00006419"/>
    <w:rsid w:val="000103C0"/>
    <w:rsid w:val="00010AD5"/>
    <w:rsid w:val="00013293"/>
    <w:rsid w:val="00014C9A"/>
    <w:rsid w:val="00023907"/>
    <w:rsid w:val="00023B51"/>
    <w:rsid w:val="00023CF5"/>
    <w:rsid w:val="000248AB"/>
    <w:rsid w:val="000315D3"/>
    <w:rsid w:val="00033681"/>
    <w:rsid w:val="00033D6E"/>
    <w:rsid w:val="00036627"/>
    <w:rsid w:val="000418F0"/>
    <w:rsid w:val="00041E6A"/>
    <w:rsid w:val="000450F5"/>
    <w:rsid w:val="00051571"/>
    <w:rsid w:val="00051C13"/>
    <w:rsid w:val="0005760F"/>
    <w:rsid w:val="00063B91"/>
    <w:rsid w:val="00064087"/>
    <w:rsid w:val="000679C3"/>
    <w:rsid w:val="00070996"/>
    <w:rsid w:val="00071B40"/>
    <w:rsid w:val="000727E8"/>
    <w:rsid w:val="000758BD"/>
    <w:rsid w:val="00075B3B"/>
    <w:rsid w:val="000822F3"/>
    <w:rsid w:val="00082938"/>
    <w:rsid w:val="00084BED"/>
    <w:rsid w:val="00086AD8"/>
    <w:rsid w:val="00086EAC"/>
    <w:rsid w:val="000875B9"/>
    <w:rsid w:val="00090450"/>
    <w:rsid w:val="00091B33"/>
    <w:rsid w:val="00096EF0"/>
    <w:rsid w:val="000A03FB"/>
    <w:rsid w:val="000A27A2"/>
    <w:rsid w:val="000A27A5"/>
    <w:rsid w:val="000A4E30"/>
    <w:rsid w:val="000A6DE5"/>
    <w:rsid w:val="000A78F1"/>
    <w:rsid w:val="000B045C"/>
    <w:rsid w:val="000B6A26"/>
    <w:rsid w:val="000B7EA7"/>
    <w:rsid w:val="000C20D6"/>
    <w:rsid w:val="000C2DA9"/>
    <w:rsid w:val="000C4A01"/>
    <w:rsid w:val="000C4A16"/>
    <w:rsid w:val="000C5C63"/>
    <w:rsid w:val="000C61A7"/>
    <w:rsid w:val="000C6433"/>
    <w:rsid w:val="000C67DF"/>
    <w:rsid w:val="000D5759"/>
    <w:rsid w:val="000D730A"/>
    <w:rsid w:val="000D739A"/>
    <w:rsid w:val="000E1F94"/>
    <w:rsid w:val="000E28D0"/>
    <w:rsid w:val="000E2A72"/>
    <w:rsid w:val="000E338F"/>
    <w:rsid w:val="000E4762"/>
    <w:rsid w:val="000E5081"/>
    <w:rsid w:val="000E5A1D"/>
    <w:rsid w:val="000E7A50"/>
    <w:rsid w:val="000F12F1"/>
    <w:rsid w:val="000F2935"/>
    <w:rsid w:val="000F346A"/>
    <w:rsid w:val="000F50B9"/>
    <w:rsid w:val="000F61AA"/>
    <w:rsid w:val="0010006D"/>
    <w:rsid w:val="00102FDE"/>
    <w:rsid w:val="001047FC"/>
    <w:rsid w:val="00107343"/>
    <w:rsid w:val="00107481"/>
    <w:rsid w:val="00111498"/>
    <w:rsid w:val="001120ED"/>
    <w:rsid w:val="00114A5A"/>
    <w:rsid w:val="001155BE"/>
    <w:rsid w:val="0011634B"/>
    <w:rsid w:val="00122008"/>
    <w:rsid w:val="0012372B"/>
    <w:rsid w:val="0013015A"/>
    <w:rsid w:val="00132AF8"/>
    <w:rsid w:val="001354F8"/>
    <w:rsid w:val="0013619C"/>
    <w:rsid w:val="0013794A"/>
    <w:rsid w:val="00144195"/>
    <w:rsid w:val="00145595"/>
    <w:rsid w:val="001458A1"/>
    <w:rsid w:val="00145E63"/>
    <w:rsid w:val="0014645A"/>
    <w:rsid w:val="001469EE"/>
    <w:rsid w:val="0016290A"/>
    <w:rsid w:val="001637A7"/>
    <w:rsid w:val="001666A0"/>
    <w:rsid w:val="00175815"/>
    <w:rsid w:val="00175E42"/>
    <w:rsid w:val="00181818"/>
    <w:rsid w:val="00181E71"/>
    <w:rsid w:val="001820CA"/>
    <w:rsid w:val="00182B19"/>
    <w:rsid w:val="001836D8"/>
    <w:rsid w:val="001838C8"/>
    <w:rsid w:val="00184395"/>
    <w:rsid w:val="00184CB4"/>
    <w:rsid w:val="00185000"/>
    <w:rsid w:val="00185131"/>
    <w:rsid w:val="001903A9"/>
    <w:rsid w:val="0019114F"/>
    <w:rsid w:val="00191974"/>
    <w:rsid w:val="00192B58"/>
    <w:rsid w:val="00194D71"/>
    <w:rsid w:val="001977B0"/>
    <w:rsid w:val="001978E2"/>
    <w:rsid w:val="001A1F75"/>
    <w:rsid w:val="001A27A4"/>
    <w:rsid w:val="001A4127"/>
    <w:rsid w:val="001A41C3"/>
    <w:rsid w:val="001A481F"/>
    <w:rsid w:val="001A54C3"/>
    <w:rsid w:val="001A576F"/>
    <w:rsid w:val="001A5D6E"/>
    <w:rsid w:val="001B0BCA"/>
    <w:rsid w:val="001B262F"/>
    <w:rsid w:val="001B5DE3"/>
    <w:rsid w:val="001B7FD0"/>
    <w:rsid w:val="001C0F85"/>
    <w:rsid w:val="001C23FA"/>
    <w:rsid w:val="001C2ADD"/>
    <w:rsid w:val="001C3210"/>
    <w:rsid w:val="001C43D2"/>
    <w:rsid w:val="001C7352"/>
    <w:rsid w:val="001D259A"/>
    <w:rsid w:val="001D449A"/>
    <w:rsid w:val="001D4728"/>
    <w:rsid w:val="001D5020"/>
    <w:rsid w:val="001D76BD"/>
    <w:rsid w:val="001D7977"/>
    <w:rsid w:val="001F0193"/>
    <w:rsid w:val="001F061D"/>
    <w:rsid w:val="001F14FF"/>
    <w:rsid w:val="001F7BD6"/>
    <w:rsid w:val="00202856"/>
    <w:rsid w:val="00202A74"/>
    <w:rsid w:val="00202FF7"/>
    <w:rsid w:val="00210F28"/>
    <w:rsid w:val="002128E3"/>
    <w:rsid w:val="00212B0A"/>
    <w:rsid w:val="00212C3A"/>
    <w:rsid w:val="0021447C"/>
    <w:rsid w:val="0021556B"/>
    <w:rsid w:val="00216C12"/>
    <w:rsid w:val="00217569"/>
    <w:rsid w:val="002204FF"/>
    <w:rsid w:val="00226EF6"/>
    <w:rsid w:val="002315B3"/>
    <w:rsid w:val="002320D6"/>
    <w:rsid w:val="00232D74"/>
    <w:rsid w:val="002342E2"/>
    <w:rsid w:val="00244BA6"/>
    <w:rsid w:val="00244D76"/>
    <w:rsid w:val="00247884"/>
    <w:rsid w:val="0025030A"/>
    <w:rsid w:val="00252B05"/>
    <w:rsid w:val="00252B30"/>
    <w:rsid w:val="00253511"/>
    <w:rsid w:val="00253DCE"/>
    <w:rsid w:val="00256ABD"/>
    <w:rsid w:val="00261D78"/>
    <w:rsid w:val="00262A3F"/>
    <w:rsid w:val="00263DFC"/>
    <w:rsid w:val="00263F26"/>
    <w:rsid w:val="002645AA"/>
    <w:rsid w:val="00266D49"/>
    <w:rsid w:val="00270C9F"/>
    <w:rsid w:val="00272208"/>
    <w:rsid w:val="00272826"/>
    <w:rsid w:val="00273DA1"/>
    <w:rsid w:val="00275CDE"/>
    <w:rsid w:val="00275D7A"/>
    <w:rsid w:val="00276627"/>
    <w:rsid w:val="0027699F"/>
    <w:rsid w:val="00281446"/>
    <w:rsid w:val="00285190"/>
    <w:rsid w:val="00285912"/>
    <w:rsid w:val="00286125"/>
    <w:rsid w:val="00286145"/>
    <w:rsid w:val="0029154E"/>
    <w:rsid w:val="002918B5"/>
    <w:rsid w:val="00292FF9"/>
    <w:rsid w:val="0029339F"/>
    <w:rsid w:val="002972D0"/>
    <w:rsid w:val="002A1048"/>
    <w:rsid w:val="002A3A9C"/>
    <w:rsid w:val="002A4B2E"/>
    <w:rsid w:val="002A5671"/>
    <w:rsid w:val="002A7557"/>
    <w:rsid w:val="002B26E3"/>
    <w:rsid w:val="002B30D7"/>
    <w:rsid w:val="002B4A6D"/>
    <w:rsid w:val="002B57C3"/>
    <w:rsid w:val="002B62B8"/>
    <w:rsid w:val="002B768F"/>
    <w:rsid w:val="002C0A05"/>
    <w:rsid w:val="002C0BD5"/>
    <w:rsid w:val="002C17D6"/>
    <w:rsid w:val="002C4655"/>
    <w:rsid w:val="002C62B5"/>
    <w:rsid w:val="002C7057"/>
    <w:rsid w:val="002C7FE0"/>
    <w:rsid w:val="002D0872"/>
    <w:rsid w:val="002D2E41"/>
    <w:rsid w:val="002D32E3"/>
    <w:rsid w:val="002E1658"/>
    <w:rsid w:val="002E1935"/>
    <w:rsid w:val="002E2644"/>
    <w:rsid w:val="002E3145"/>
    <w:rsid w:val="002E5190"/>
    <w:rsid w:val="002E5839"/>
    <w:rsid w:val="002E590A"/>
    <w:rsid w:val="002E5CBF"/>
    <w:rsid w:val="002E7374"/>
    <w:rsid w:val="002E7BD0"/>
    <w:rsid w:val="002F285A"/>
    <w:rsid w:val="002F4436"/>
    <w:rsid w:val="002F62EA"/>
    <w:rsid w:val="003004ED"/>
    <w:rsid w:val="003033F3"/>
    <w:rsid w:val="00305D1B"/>
    <w:rsid w:val="00306489"/>
    <w:rsid w:val="00306B81"/>
    <w:rsid w:val="00310FDC"/>
    <w:rsid w:val="00311EB5"/>
    <w:rsid w:val="00313304"/>
    <w:rsid w:val="003138C3"/>
    <w:rsid w:val="0032241A"/>
    <w:rsid w:val="00322E8A"/>
    <w:rsid w:val="00325CCB"/>
    <w:rsid w:val="003326BD"/>
    <w:rsid w:val="00334B60"/>
    <w:rsid w:val="00335034"/>
    <w:rsid w:val="00337314"/>
    <w:rsid w:val="00340314"/>
    <w:rsid w:val="0034055B"/>
    <w:rsid w:val="00340AE1"/>
    <w:rsid w:val="00342339"/>
    <w:rsid w:val="00342B4C"/>
    <w:rsid w:val="003447DD"/>
    <w:rsid w:val="003452B3"/>
    <w:rsid w:val="00345509"/>
    <w:rsid w:val="00345E60"/>
    <w:rsid w:val="0034738F"/>
    <w:rsid w:val="0035025A"/>
    <w:rsid w:val="00350A39"/>
    <w:rsid w:val="00350D43"/>
    <w:rsid w:val="00352C5E"/>
    <w:rsid w:val="00354FA1"/>
    <w:rsid w:val="003618ED"/>
    <w:rsid w:val="003629BE"/>
    <w:rsid w:val="003703E8"/>
    <w:rsid w:val="0037308B"/>
    <w:rsid w:val="0037387A"/>
    <w:rsid w:val="00375CD8"/>
    <w:rsid w:val="00377B30"/>
    <w:rsid w:val="00377F15"/>
    <w:rsid w:val="0038235A"/>
    <w:rsid w:val="003826F2"/>
    <w:rsid w:val="003907EB"/>
    <w:rsid w:val="003908B1"/>
    <w:rsid w:val="00396C4C"/>
    <w:rsid w:val="003A109F"/>
    <w:rsid w:val="003A207B"/>
    <w:rsid w:val="003A314F"/>
    <w:rsid w:val="003A50D7"/>
    <w:rsid w:val="003A54AA"/>
    <w:rsid w:val="003B0476"/>
    <w:rsid w:val="003B4512"/>
    <w:rsid w:val="003B7910"/>
    <w:rsid w:val="003D0518"/>
    <w:rsid w:val="003D22B0"/>
    <w:rsid w:val="003D3417"/>
    <w:rsid w:val="003D578C"/>
    <w:rsid w:val="003D63A4"/>
    <w:rsid w:val="003D7D4D"/>
    <w:rsid w:val="003E102E"/>
    <w:rsid w:val="003E152D"/>
    <w:rsid w:val="003F1B2C"/>
    <w:rsid w:val="003F20C9"/>
    <w:rsid w:val="003F2672"/>
    <w:rsid w:val="00401ABD"/>
    <w:rsid w:val="00402925"/>
    <w:rsid w:val="004046E2"/>
    <w:rsid w:val="00407350"/>
    <w:rsid w:val="00410763"/>
    <w:rsid w:val="00412139"/>
    <w:rsid w:val="00416B2B"/>
    <w:rsid w:val="00424B9B"/>
    <w:rsid w:val="00426932"/>
    <w:rsid w:val="00427351"/>
    <w:rsid w:val="0043123D"/>
    <w:rsid w:val="00432B31"/>
    <w:rsid w:val="00435847"/>
    <w:rsid w:val="00440C78"/>
    <w:rsid w:val="00450DE5"/>
    <w:rsid w:val="00452623"/>
    <w:rsid w:val="00452D6B"/>
    <w:rsid w:val="004531E3"/>
    <w:rsid w:val="00453FE5"/>
    <w:rsid w:val="004554A7"/>
    <w:rsid w:val="004569A9"/>
    <w:rsid w:val="00457736"/>
    <w:rsid w:val="00457B7F"/>
    <w:rsid w:val="00461457"/>
    <w:rsid w:val="0046308D"/>
    <w:rsid w:val="00464E2C"/>
    <w:rsid w:val="00464F42"/>
    <w:rsid w:val="004665D1"/>
    <w:rsid w:val="0046728F"/>
    <w:rsid w:val="0047339C"/>
    <w:rsid w:val="00473D3C"/>
    <w:rsid w:val="00476025"/>
    <w:rsid w:val="00480A8C"/>
    <w:rsid w:val="004818AF"/>
    <w:rsid w:val="00482592"/>
    <w:rsid w:val="00482EB1"/>
    <w:rsid w:val="00483D62"/>
    <w:rsid w:val="00486C31"/>
    <w:rsid w:val="0049163F"/>
    <w:rsid w:val="004948FA"/>
    <w:rsid w:val="0049523B"/>
    <w:rsid w:val="004A06F9"/>
    <w:rsid w:val="004A134D"/>
    <w:rsid w:val="004A2A73"/>
    <w:rsid w:val="004A5076"/>
    <w:rsid w:val="004A7106"/>
    <w:rsid w:val="004A775C"/>
    <w:rsid w:val="004B635D"/>
    <w:rsid w:val="004C0259"/>
    <w:rsid w:val="004C3777"/>
    <w:rsid w:val="004C41E9"/>
    <w:rsid w:val="004C5ADD"/>
    <w:rsid w:val="004C6132"/>
    <w:rsid w:val="004D1AEA"/>
    <w:rsid w:val="004D2999"/>
    <w:rsid w:val="004D4827"/>
    <w:rsid w:val="004D4DAE"/>
    <w:rsid w:val="004D5A57"/>
    <w:rsid w:val="004D6034"/>
    <w:rsid w:val="004E1A51"/>
    <w:rsid w:val="004E2677"/>
    <w:rsid w:val="004E3449"/>
    <w:rsid w:val="004E3A88"/>
    <w:rsid w:val="004E4435"/>
    <w:rsid w:val="004E5997"/>
    <w:rsid w:val="004E717A"/>
    <w:rsid w:val="004F1BDA"/>
    <w:rsid w:val="004F1F97"/>
    <w:rsid w:val="004F63A1"/>
    <w:rsid w:val="004F67C7"/>
    <w:rsid w:val="005004F1"/>
    <w:rsid w:val="005013E6"/>
    <w:rsid w:val="005024D5"/>
    <w:rsid w:val="00504D8F"/>
    <w:rsid w:val="00512AA8"/>
    <w:rsid w:val="00513F52"/>
    <w:rsid w:val="00517B7D"/>
    <w:rsid w:val="00517CD4"/>
    <w:rsid w:val="00521574"/>
    <w:rsid w:val="00521F09"/>
    <w:rsid w:val="005235BB"/>
    <w:rsid w:val="005239CF"/>
    <w:rsid w:val="00535A0F"/>
    <w:rsid w:val="005377FA"/>
    <w:rsid w:val="00537B6E"/>
    <w:rsid w:val="005401AD"/>
    <w:rsid w:val="00541C74"/>
    <w:rsid w:val="00545425"/>
    <w:rsid w:val="00545BA0"/>
    <w:rsid w:val="005466FD"/>
    <w:rsid w:val="00550A4F"/>
    <w:rsid w:val="00553BAB"/>
    <w:rsid w:val="005565E0"/>
    <w:rsid w:val="00560E85"/>
    <w:rsid w:val="00565B45"/>
    <w:rsid w:val="00567313"/>
    <w:rsid w:val="0057089B"/>
    <w:rsid w:val="00571B54"/>
    <w:rsid w:val="005777F3"/>
    <w:rsid w:val="00580833"/>
    <w:rsid w:val="0058141B"/>
    <w:rsid w:val="0058274B"/>
    <w:rsid w:val="0058285A"/>
    <w:rsid w:val="005834E9"/>
    <w:rsid w:val="00590A04"/>
    <w:rsid w:val="00592343"/>
    <w:rsid w:val="0059546E"/>
    <w:rsid w:val="00595805"/>
    <w:rsid w:val="005967D3"/>
    <w:rsid w:val="0059709C"/>
    <w:rsid w:val="005A0E7C"/>
    <w:rsid w:val="005A1ACD"/>
    <w:rsid w:val="005A1E8A"/>
    <w:rsid w:val="005A2118"/>
    <w:rsid w:val="005A51C7"/>
    <w:rsid w:val="005A71B5"/>
    <w:rsid w:val="005B1F2A"/>
    <w:rsid w:val="005B3F8D"/>
    <w:rsid w:val="005B5927"/>
    <w:rsid w:val="005B5BE7"/>
    <w:rsid w:val="005B640E"/>
    <w:rsid w:val="005B7DCE"/>
    <w:rsid w:val="005C297B"/>
    <w:rsid w:val="005C496C"/>
    <w:rsid w:val="005D0CD6"/>
    <w:rsid w:val="005D135B"/>
    <w:rsid w:val="005D1A22"/>
    <w:rsid w:val="005D1AD4"/>
    <w:rsid w:val="005D2685"/>
    <w:rsid w:val="005D3A0A"/>
    <w:rsid w:val="005D5F81"/>
    <w:rsid w:val="005D6759"/>
    <w:rsid w:val="005D67B1"/>
    <w:rsid w:val="005D7308"/>
    <w:rsid w:val="005D7DF4"/>
    <w:rsid w:val="005E10F4"/>
    <w:rsid w:val="005E37B7"/>
    <w:rsid w:val="005E60AF"/>
    <w:rsid w:val="005E77C5"/>
    <w:rsid w:val="005F150E"/>
    <w:rsid w:val="005F2BCD"/>
    <w:rsid w:val="005F30D3"/>
    <w:rsid w:val="005F325A"/>
    <w:rsid w:val="005F34E5"/>
    <w:rsid w:val="005F41E6"/>
    <w:rsid w:val="00602EAA"/>
    <w:rsid w:val="0060572F"/>
    <w:rsid w:val="00605BF8"/>
    <w:rsid w:val="0061050D"/>
    <w:rsid w:val="00610AE9"/>
    <w:rsid w:val="00614A14"/>
    <w:rsid w:val="00616107"/>
    <w:rsid w:val="00622159"/>
    <w:rsid w:val="0062292C"/>
    <w:rsid w:val="00624BFD"/>
    <w:rsid w:val="00630A07"/>
    <w:rsid w:val="006311D6"/>
    <w:rsid w:val="00631D2E"/>
    <w:rsid w:val="00632035"/>
    <w:rsid w:val="00632C8F"/>
    <w:rsid w:val="00633464"/>
    <w:rsid w:val="00637021"/>
    <w:rsid w:val="00641EB1"/>
    <w:rsid w:val="00642D8A"/>
    <w:rsid w:val="00642DF2"/>
    <w:rsid w:val="00646CD4"/>
    <w:rsid w:val="00651F0E"/>
    <w:rsid w:val="006562AD"/>
    <w:rsid w:val="00657EFE"/>
    <w:rsid w:val="0066272A"/>
    <w:rsid w:val="0066598B"/>
    <w:rsid w:val="00672733"/>
    <w:rsid w:val="00675CAD"/>
    <w:rsid w:val="006778DF"/>
    <w:rsid w:val="006808E1"/>
    <w:rsid w:val="00681E73"/>
    <w:rsid w:val="00685DFD"/>
    <w:rsid w:val="006902F0"/>
    <w:rsid w:val="006913E6"/>
    <w:rsid w:val="00691901"/>
    <w:rsid w:val="006920C2"/>
    <w:rsid w:val="006939AE"/>
    <w:rsid w:val="00693C36"/>
    <w:rsid w:val="00693D43"/>
    <w:rsid w:val="006943D2"/>
    <w:rsid w:val="00694549"/>
    <w:rsid w:val="00697DAE"/>
    <w:rsid w:val="006A2B94"/>
    <w:rsid w:val="006A3EC2"/>
    <w:rsid w:val="006B08DB"/>
    <w:rsid w:val="006B204D"/>
    <w:rsid w:val="006B3B9E"/>
    <w:rsid w:val="006B5D57"/>
    <w:rsid w:val="006B73B6"/>
    <w:rsid w:val="006C0642"/>
    <w:rsid w:val="006C147B"/>
    <w:rsid w:val="006D0646"/>
    <w:rsid w:val="006D1F2A"/>
    <w:rsid w:val="006D246E"/>
    <w:rsid w:val="006D6266"/>
    <w:rsid w:val="006E057B"/>
    <w:rsid w:val="006E378D"/>
    <w:rsid w:val="006E39E8"/>
    <w:rsid w:val="006E5014"/>
    <w:rsid w:val="006E5EA7"/>
    <w:rsid w:val="006E71DC"/>
    <w:rsid w:val="006F0970"/>
    <w:rsid w:val="006F1E3F"/>
    <w:rsid w:val="006F3621"/>
    <w:rsid w:val="006F48FE"/>
    <w:rsid w:val="006F4B97"/>
    <w:rsid w:val="00701388"/>
    <w:rsid w:val="00702ADC"/>
    <w:rsid w:val="00702DE6"/>
    <w:rsid w:val="00715AFE"/>
    <w:rsid w:val="007173C8"/>
    <w:rsid w:val="00720A92"/>
    <w:rsid w:val="0072490B"/>
    <w:rsid w:val="007256BF"/>
    <w:rsid w:val="00735406"/>
    <w:rsid w:val="00735479"/>
    <w:rsid w:val="00735490"/>
    <w:rsid w:val="0073577C"/>
    <w:rsid w:val="0073727B"/>
    <w:rsid w:val="00741B09"/>
    <w:rsid w:val="00742792"/>
    <w:rsid w:val="007429CA"/>
    <w:rsid w:val="00745BFC"/>
    <w:rsid w:val="00745CEE"/>
    <w:rsid w:val="00746882"/>
    <w:rsid w:val="007469E9"/>
    <w:rsid w:val="00746DE3"/>
    <w:rsid w:val="00750A42"/>
    <w:rsid w:val="00753952"/>
    <w:rsid w:val="00753D05"/>
    <w:rsid w:val="00760237"/>
    <w:rsid w:val="00762E85"/>
    <w:rsid w:val="007635CF"/>
    <w:rsid w:val="00772672"/>
    <w:rsid w:val="0077284B"/>
    <w:rsid w:val="00775703"/>
    <w:rsid w:val="00782803"/>
    <w:rsid w:val="00783D14"/>
    <w:rsid w:val="00784318"/>
    <w:rsid w:val="00786A0B"/>
    <w:rsid w:val="007930A9"/>
    <w:rsid w:val="007941CA"/>
    <w:rsid w:val="00795D7A"/>
    <w:rsid w:val="00797DF0"/>
    <w:rsid w:val="007A05C4"/>
    <w:rsid w:val="007A3920"/>
    <w:rsid w:val="007A429B"/>
    <w:rsid w:val="007A62D5"/>
    <w:rsid w:val="007A677A"/>
    <w:rsid w:val="007A6EF8"/>
    <w:rsid w:val="007B2046"/>
    <w:rsid w:val="007B52F3"/>
    <w:rsid w:val="007B5C44"/>
    <w:rsid w:val="007C46BA"/>
    <w:rsid w:val="007C59FE"/>
    <w:rsid w:val="007C64A1"/>
    <w:rsid w:val="007C7C59"/>
    <w:rsid w:val="007D45BC"/>
    <w:rsid w:val="007D59BE"/>
    <w:rsid w:val="007D7246"/>
    <w:rsid w:val="007E2A71"/>
    <w:rsid w:val="007E41E7"/>
    <w:rsid w:val="007E4DAD"/>
    <w:rsid w:val="007E5327"/>
    <w:rsid w:val="007E536E"/>
    <w:rsid w:val="007E7BFA"/>
    <w:rsid w:val="007E7E4E"/>
    <w:rsid w:val="007F0690"/>
    <w:rsid w:val="007F160B"/>
    <w:rsid w:val="007F289B"/>
    <w:rsid w:val="007F3148"/>
    <w:rsid w:val="007F3F81"/>
    <w:rsid w:val="007F4121"/>
    <w:rsid w:val="007F467E"/>
    <w:rsid w:val="007F620C"/>
    <w:rsid w:val="007F6C03"/>
    <w:rsid w:val="00800E3D"/>
    <w:rsid w:val="00801B8F"/>
    <w:rsid w:val="00805DBA"/>
    <w:rsid w:val="00807D56"/>
    <w:rsid w:val="00807E00"/>
    <w:rsid w:val="008103FE"/>
    <w:rsid w:val="00810943"/>
    <w:rsid w:val="00813B81"/>
    <w:rsid w:val="00814D68"/>
    <w:rsid w:val="008213D7"/>
    <w:rsid w:val="00823E9E"/>
    <w:rsid w:val="00825CCC"/>
    <w:rsid w:val="00826172"/>
    <w:rsid w:val="0082693D"/>
    <w:rsid w:val="008352E1"/>
    <w:rsid w:val="00837B92"/>
    <w:rsid w:val="00837F79"/>
    <w:rsid w:val="00840E28"/>
    <w:rsid w:val="008435A5"/>
    <w:rsid w:val="00845E9A"/>
    <w:rsid w:val="00846294"/>
    <w:rsid w:val="008479F6"/>
    <w:rsid w:val="00851405"/>
    <w:rsid w:val="008536FF"/>
    <w:rsid w:val="008540A1"/>
    <w:rsid w:val="00855CD2"/>
    <w:rsid w:val="00857171"/>
    <w:rsid w:val="00857180"/>
    <w:rsid w:val="008633D6"/>
    <w:rsid w:val="00863977"/>
    <w:rsid w:val="00864A20"/>
    <w:rsid w:val="00864AE4"/>
    <w:rsid w:val="008664D2"/>
    <w:rsid w:val="00866BF0"/>
    <w:rsid w:val="00866DBB"/>
    <w:rsid w:val="00867BC0"/>
    <w:rsid w:val="00871E8F"/>
    <w:rsid w:val="008723DE"/>
    <w:rsid w:val="008731D7"/>
    <w:rsid w:val="00873331"/>
    <w:rsid w:val="008738BB"/>
    <w:rsid w:val="00875B6E"/>
    <w:rsid w:val="0087707A"/>
    <w:rsid w:val="00882524"/>
    <w:rsid w:val="0088775C"/>
    <w:rsid w:val="00890896"/>
    <w:rsid w:val="00894209"/>
    <w:rsid w:val="00894418"/>
    <w:rsid w:val="00896316"/>
    <w:rsid w:val="008A08B5"/>
    <w:rsid w:val="008A12C7"/>
    <w:rsid w:val="008A318D"/>
    <w:rsid w:val="008A344E"/>
    <w:rsid w:val="008A712A"/>
    <w:rsid w:val="008B548C"/>
    <w:rsid w:val="008B6360"/>
    <w:rsid w:val="008B7D1E"/>
    <w:rsid w:val="008C0F5C"/>
    <w:rsid w:val="008C2DE5"/>
    <w:rsid w:val="008C4E29"/>
    <w:rsid w:val="008C6318"/>
    <w:rsid w:val="008D1110"/>
    <w:rsid w:val="008D1D4E"/>
    <w:rsid w:val="008E0010"/>
    <w:rsid w:val="008E2BC3"/>
    <w:rsid w:val="008E411D"/>
    <w:rsid w:val="008F159B"/>
    <w:rsid w:val="008F4637"/>
    <w:rsid w:val="008F4A7A"/>
    <w:rsid w:val="008F780A"/>
    <w:rsid w:val="00901A54"/>
    <w:rsid w:val="00907924"/>
    <w:rsid w:val="00911A5A"/>
    <w:rsid w:val="00913B89"/>
    <w:rsid w:val="009160FA"/>
    <w:rsid w:val="00921D98"/>
    <w:rsid w:val="00923433"/>
    <w:rsid w:val="009236B2"/>
    <w:rsid w:val="00923C76"/>
    <w:rsid w:val="00923DE6"/>
    <w:rsid w:val="00925996"/>
    <w:rsid w:val="00926A1C"/>
    <w:rsid w:val="009333AF"/>
    <w:rsid w:val="009338A1"/>
    <w:rsid w:val="00934291"/>
    <w:rsid w:val="00934524"/>
    <w:rsid w:val="00934A63"/>
    <w:rsid w:val="009354AC"/>
    <w:rsid w:val="00936B6A"/>
    <w:rsid w:val="00937824"/>
    <w:rsid w:val="0095201E"/>
    <w:rsid w:val="0095284B"/>
    <w:rsid w:val="00953483"/>
    <w:rsid w:val="0095649E"/>
    <w:rsid w:val="009577AA"/>
    <w:rsid w:val="00963024"/>
    <w:rsid w:val="00964B87"/>
    <w:rsid w:val="00975F37"/>
    <w:rsid w:val="00977197"/>
    <w:rsid w:val="00977AA5"/>
    <w:rsid w:val="00977F04"/>
    <w:rsid w:val="00980E2D"/>
    <w:rsid w:val="009826A3"/>
    <w:rsid w:val="00983249"/>
    <w:rsid w:val="00983A2A"/>
    <w:rsid w:val="0099094B"/>
    <w:rsid w:val="00990A83"/>
    <w:rsid w:val="009911AA"/>
    <w:rsid w:val="00992449"/>
    <w:rsid w:val="0099382D"/>
    <w:rsid w:val="00995E08"/>
    <w:rsid w:val="009A3F5C"/>
    <w:rsid w:val="009A5819"/>
    <w:rsid w:val="009B0EE4"/>
    <w:rsid w:val="009B277E"/>
    <w:rsid w:val="009B2E98"/>
    <w:rsid w:val="009B2F1D"/>
    <w:rsid w:val="009B40FF"/>
    <w:rsid w:val="009B7025"/>
    <w:rsid w:val="009B7CFE"/>
    <w:rsid w:val="009C0C14"/>
    <w:rsid w:val="009C2C97"/>
    <w:rsid w:val="009C4B7E"/>
    <w:rsid w:val="009C6CAC"/>
    <w:rsid w:val="009D06DB"/>
    <w:rsid w:val="009D38AA"/>
    <w:rsid w:val="009D4264"/>
    <w:rsid w:val="009D4D4D"/>
    <w:rsid w:val="009E0408"/>
    <w:rsid w:val="009E09BC"/>
    <w:rsid w:val="009E273E"/>
    <w:rsid w:val="009E3A52"/>
    <w:rsid w:val="009E537D"/>
    <w:rsid w:val="009E54AB"/>
    <w:rsid w:val="009F089D"/>
    <w:rsid w:val="009F20ED"/>
    <w:rsid w:val="009F2D74"/>
    <w:rsid w:val="009F368E"/>
    <w:rsid w:val="009F4535"/>
    <w:rsid w:val="009F4779"/>
    <w:rsid w:val="009F6740"/>
    <w:rsid w:val="00A00AF7"/>
    <w:rsid w:val="00A06570"/>
    <w:rsid w:val="00A07B76"/>
    <w:rsid w:val="00A11F18"/>
    <w:rsid w:val="00A1501B"/>
    <w:rsid w:val="00A156FC"/>
    <w:rsid w:val="00A15EBD"/>
    <w:rsid w:val="00A22083"/>
    <w:rsid w:val="00A224BE"/>
    <w:rsid w:val="00A236F8"/>
    <w:rsid w:val="00A31962"/>
    <w:rsid w:val="00A34449"/>
    <w:rsid w:val="00A362A9"/>
    <w:rsid w:val="00A364F8"/>
    <w:rsid w:val="00A41DB8"/>
    <w:rsid w:val="00A45288"/>
    <w:rsid w:val="00A45FBB"/>
    <w:rsid w:val="00A46153"/>
    <w:rsid w:val="00A46550"/>
    <w:rsid w:val="00A513C4"/>
    <w:rsid w:val="00A522B2"/>
    <w:rsid w:val="00A60BBC"/>
    <w:rsid w:val="00A60E1A"/>
    <w:rsid w:val="00A673FA"/>
    <w:rsid w:val="00A70ACA"/>
    <w:rsid w:val="00A733D4"/>
    <w:rsid w:val="00A77FAD"/>
    <w:rsid w:val="00A8267D"/>
    <w:rsid w:val="00A83179"/>
    <w:rsid w:val="00A967D2"/>
    <w:rsid w:val="00AA1B7A"/>
    <w:rsid w:val="00AA3DBD"/>
    <w:rsid w:val="00AA5AD6"/>
    <w:rsid w:val="00AA5B33"/>
    <w:rsid w:val="00AA6AD3"/>
    <w:rsid w:val="00AA7ADA"/>
    <w:rsid w:val="00AB054A"/>
    <w:rsid w:val="00AB0D9C"/>
    <w:rsid w:val="00AC0F8A"/>
    <w:rsid w:val="00AC427C"/>
    <w:rsid w:val="00AC65CB"/>
    <w:rsid w:val="00AC6995"/>
    <w:rsid w:val="00AC77E1"/>
    <w:rsid w:val="00AD2074"/>
    <w:rsid w:val="00AD2180"/>
    <w:rsid w:val="00AD3922"/>
    <w:rsid w:val="00AD3C5B"/>
    <w:rsid w:val="00AD3F43"/>
    <w:rsid w:val="00AD544E"/>
    <w:rsid w:val="00AD68AC"/>
    <w:rsid w:val="00AD7621"/>
    <w:rsid w:val="00AE6729"/>
    <w:rsid w:val="00AE7AB8"/>
    <w:rsid w:val="00AF0295"/>
    <w:rsid w:val="00AF0E0A"/>
    <w:rsid w:val="00AF1A80"/>
    <w:rsid w:val="00AF21F6"/>
    <w:rsid w:val="00B1240F"/>
    <w:rsid w:val="00B14618"/>
    <w:rsid w:val="00B14B0C"/>
    <w:rsid w:val="00B249E0"/>
    <w:rsid w:val="00B2708B"/>
    <w:rsid w:val="00B27BDE"/>
    <w:rsid w:val="00B328D6"/>
    <w:rsid w:val="00B331C6"/>
    <w:rsid w:val="00B337F6"/>
    <w:rsid w:val="00B350E6"/>
    <w:rsid w:val="00B36D60"/>
    <w:rsid w:val="00B419BB"/>
    <w:rsid w:val="00B42513"/>
    <w:rsid w:val="00B428AA"/>
    <w:rsid w:val="00B441D2"/>
    <w:rsid w:val="00B4439C"/>
    <w:rsid w:val="00B450BA"/>
    <w:rsid w:val="00B5079C"/>
    <w:rsid w:val="00B50BC4"/>
    <w:rsid w:val="00B61766"/>
    <w:rsid w:val="00B62C6F"/>
    <w:rsid w:val="00B62E67"/>
    <w:rsid w:val="00B63447"/>
    <w:rsid w:val="00B63787"/>
    <w:rsid w:val="00B64A3A"/>
    <w:rsid w:val="00B66920"/>
    <w:rsid w:val="00B70300"/>
    <w:rsid w:val="00B710CB"/>
    <w:rsid w:val="00B713C4"/>
    <w:rsid w:val="00B71BA3"/>
    <w:rsid w:val="00B76417"/>
    <w:rsid w:val="00B7699B"/>
    <w:rsid w:val="00B806FC"/>
    <w:rsid w:val="00B807DC"/>
    <w:rsid w:val="00B837A3"/>
    <w:rsid w:val="00B83CC6"/>
    <w:rsid w:val="00B84062"/>
    <w:rsid w:val="00B87FE5"/>
    <w:rsid w:val="00B94C4F"/>
    <w:rsid w:val="00BA3993"/>
    <w:rsid w:val="00BA3F3C"/>
    <w:rsid w:val="00BA41D8"/>
    <w:rsid w:val="00BA6C59"/>
    <w:rsid w:val="00BA7887"/>
    <w:rsid w:val="00BA7E46"/>
    <w:rsid w:val="00BB04F6"/>
    <w:rsid w:val="00BB1746"/>
    <w:rsid w:val="00BB1D36"/>
    <w:rsid w:val="00BB7C6C"/>
    <w:rsid w:val="00BC0C79"/>
    <w:rsid w:val="00BC0E92"/>
    <w:rsid w:val="00BC1413"/>
    <w:rsid w:val="00BC3DF9"/>
    <w:rsid w:val="00BC4A23"/>
    <w:rsid w:val="00BC5F19"/>
    <w:rsid w:val="00BC692C"/>
    <w:rsid w:val="00BC7627"/>
    <w:rsid w:val="00BD085E"/>
    <w:rsid w:val="00BE4C6F"/>
    <w:rsid w:val="00BE6FD9"/>
    <w:rsid w:val="00BF2DFF"/>
    <w:rsid w:val="00BF35E0"/>
    <w:rsid w:val="00C001DD"/>
    <w:rsid w:val="00C01881"/>
    <w:rsid w:val="00C04F03"/>
    <w:rsid w:val="00C13B4F"/>
    <w:rsid w:val="00C16DEE"/>
    <w:rsid w:val="00C20374"/>
    <w:rsid w:val="00C2224C"/>
    <w:rsid w:val="00C22CA8"/>
    <w:rsid w:val="00C22E52"/>
    <w:rsid w:val="00C2459D"/>
    <w:rsid w:val="00C25C26"/>
    <w:rsid w:val="00C34726"/>
    <w:rsid w:val="00C357D3"/>
    <w:rsid w:val="00C363E0"/>
    <w:rsid w:val="00C37958"/>
    <w:rsid w:val="00C4206F"/>
    <w:rsid w:val="00C42456"/>
    <w:rsid w:val="00C43A0D"/>
    <w:rsid w:val="00C45810"/>
    <w:rsid w:val="00C464A8"/>
    <w:rsid w:val="00C4706C"/>
    <w:rsid w:val="00C470E6"/>
    <w:rsid w:val="00C50B68"/>
    <w:rsid w:val="00C5140B"/>
    <w:rsid w:val="00C538C4"/>
    <w:rsid w:val="00C6014F"/>
    <w:rsid w:val="00C606FF"/>
    <w:rsid w:val="00C61AFC"/>
    <w:rsid w:val="00C634A3"/>
    <w:rsid w:val="00C64175"/>
    <w:rsid w:val="00C64E0D"/>
    <w:rsid w:val="00C652B9"/>
    <w:rsid w:val="00C66497"/>
    <w:rsid w:val="00C67890"/>
    <w:rsid w:val="00C704B7"/>
    <w:rsid w:val="00C7122D"/>
    <w:rsid w:val="00C71667"/>
    <w:rsid w:val="00C77FCD"/>
    <w:rsid w:val="00C8012A"/>
    <w:rsid w:val="00C83A85"/>
    <w:rsid w:val="00C83EE0"/>
    <w:rsid w:val="00C866EB"/>
    <w:rsid w:val="00C9172D"/>
    <w:rsid w:val="00C91D52"/>
    <w:rsid w:val="00C943FD"/>
    <w:rsid w:val="00C976A9"/>
    <w:rsid w:val="00CA3E5A"/>
    <w:rsid w:val="00CA7209"/>
    <w:rsid w:val="00CA7DAA"/>
    <w:rsid w:val="00CB0657"/>
    <w:rsid w:val="00CB0AC6"/>
    <w:rsid w:val="00CB3099"/>
    <w:rsid w:val="00CB54A3"/>
    <w:rsid w:val="00CC06A7"/>
    <w:rsid w:val="00CC6B84"/>
    <w:rsid w:val="00CC6C6E"/>
    <w:rsid w:val="00CC75BC"/>
    <w:rsid w:val="00CC7C2D"/>
    <w:rsid w:val="00CD0357"/>
    <w:rsid w:val="00CD2613"/>
    <w:rsid w:val="00CD2746"/>
    <w:rsid w:val="00CD52E1"/>
    <w:rsid w:val="00CE03EE"/>
    <w:rsid w:val="00CE39C9"/>
    <w:rsid w:val="00CE4A29"/>
    <w:rsid w:val="00CE6893"/>
    <w:rsid w:val="00CE6F86"/>
    <w:rsid w:val="00CE70BD"/>
    <w:rsid w:val="00CF159D"/>
    <w:rsid w:val="00D00CAA"/>
    <w:rsid w:val="00D02A5B"/>
    <w:rsid w:val="00D04112"/>
    <w:rsid w:val="00D05A1A"/>
    <w:rsid w:val="00D05EC4"/>
    <w:rsid w:val="00D06F95"/>
    <w:rsid w:val="00D11925"/>
    <w:rsid w:val="00D2586C"/>
    <w:rsid w:val="00D26A31"/>
    <w:rsid w:val="00D27EE3"/>
    <w:rsid w:val="00D3048C"/>
    <w:rsid w:val="00D310B3"/>
    <w:rsid w:val="00D32D73"/>
    <w:rsid w:val="00D32E37"/>
    <w:rsid w:val="00D331EF"/>
    <w:rsid w:val="00D3369E"/>
    <w:rsid w:val="00D35275"/>
    <w:rsid w:val="00D35AEB"/>
    <w:rsid w:val="00D43123"/>
    <w:rsid w:val="00D44B37"/>
    <w:rsid w:val="00D476CB"/>
    <w:rsid w:val="00D52DED"/>
    <w:rsid w:val="00D5537B"/>
    <w:rsid w:val="00D56114"/>
    <w:rsid w:val="00D60A38"/>
    <w:rsid w:val="00D62741"/>
    <w:rsid w:val="00D6324A"/>
    <w:rsid w:val="00D6394E"/>
    <w:rsid w:val="00D64B86"/>
    <w:rsid w:val="00D66AE6"/>
    <w:rsid w:val="00D676E5"/>
    <w:rsid w:val="00D712D4"/>
    <w:rsid w:val="00D742CD"/>
    <w:rsid w:val="00D74852"/>
    <w:rsid w:val="00D74A59"/>
    <w:rsid w:val="00D7693B"/>
    <w:rsid w:val="00D81060"/>
    <w:rsid w:val="00D812E3"/>
    <w:rsid w:val="00D8213F"/>
    <w:rsid w:val="00D8363D"/>
    <w:rsid w:val="00D864F1"/>
    <w:rsid w:val="00D87625"/>
    <w:rsid w:val="00D917F8"/>
    <w:rsid w:val="00D925F0"/>
    <w:rsid w:val="00D947F7"/>
    <w:rsid w:val="00DA0C9D"/>
    <w:rsid w:val="00DA134D"/>
    <w:rsid w:val="00DA2D2F"/>
    <w:rsid w:val="00DA4B59"/>
    <w:rsid w:val="00DA5C90"/>
    <w:rsid w:val="00DA78F2"/>
    <w:rsid w:val="00DA7E23"/>
    <w:rsid w:val="00DB0AE0"/>
    <w:rsid w:val="00DB200E"/>
    <w:rsid w:val="00DB24F0"/>
    <w:rsid w:val="00DB457E"/>
    <w:rsid w:val="00DB467E"/>
    <w:rsid w:val="00DB494D"/>
    <w:rsid w:val="00DB5F02"/>
    <w:rsid w:val="00DC03A8"/>
    <w:rsid w:val="00DC0DBF"/>
    <w:rsid w:val="00DC316D"/>
    <w:rsid w:val="00DC7CEB"/>
    <w:rsid w:val="00DD175C"/>
    <w:rsid w:val="00DD1BA3"/>
    <w:rsid w:val="00DD3178"/>
    <w:rsid w:val="00DD34BD"/>
    <w:rsid w:val="00DD5596"/>
    <w:rsid w:val="00DD5EA3"/>
    <w:rsid w:val="00DE120E"/>
    <w:rsid w:val="00DE55C1"/>
    <w:rsid w:val="00DE6765"/>
    <w:rsid w:val="00DF061C"/>
    <w:rsid w:val="00DF3484"/>
    <w:rsid w:val="00DF3A97"/>
    <w:rsid w:val="00DF6761"/>
    <w:rsid w:val="00DF7BBC"/>
    <w:rsid w:val="00E0291F"/>
    <w:rsid w:val="00E04AD6"/>
    <w:rsid w:val="00E06168"/>
    <w:rsid w:val="00E075D9"/>
    <w:rsid w:val="00E10641"/>
    <w:rsid w:val="00E1243E"/>
    <w:rsid w:val="00E12610"/>
    <w:rsid w:val="00E1333A"/>
    <w:rsid w:val="00E1573D"/>
    <w:rsid w:val="00E1767B"/>
    <w:rsid w:val="00E17D57"/>
    <w:rsid w:val="00E2056E"/>
    <w:rsid w:val="00E20780"/>
    <w:rsid w:val="00E21F2D"/>
    <w:rsid w:val="00E25796"/>
    <w:rsid w:val="00E26789"/>
    <w:rsid w:val="00E279CA"/>
    <w:rsid w:val="00E30ED1"/>
    <w:rsid w:val="00E312B3"/>
    <w:rsid w:val="00E3485A"/>
    <w:rsid w:val="00E35C85"/>
    <w:rsid w:val="00E379B9"/>
    <w:rsid w:val="00E4107A"/>
    <w:rsid w:val="00E416A4"/>
    <w:rsid w:val="00E41B19"/>
    <w:rsid w:val="00E41C6C"/>
    <w:rsid w:val="00E41D00"/>
    <w:rsid w:val="00E42446"/>
    <w:rsid w:val="00E439D6"/>
    <w:rsid w:val="00E44D80"/>
    <w:rsid w:val="00E45EF3"/>
    <w:rsid w:val="00E460ED"/>
    <w:rsid w:val="00E471AD"/>
    <w:rsid w:val="00E477FB"/>
    <w:rsid w:val="00E47FD2"/>
    <w:rsid w:val="00E52B69"/>
    <w:rsid w:val="00E53773"/>
    <w:rsid w:val="00E56B07"/>
    <w:rsid w:val="00E614FA"/>
    <w:rsid w:val="00E61A50"/>
    <w:rsid w:val="00E640C7"/>
    <w:rsid w:val="00E65A6D"/>
    <w:rsid w:val="00E6676E"/>
    <w:rsid w:val="00E669B7"/>
    <w:rsid w:val="00E75DB8"/>
    <w:rsid w:val="00E77E8E"/>
    <w:rsid w:val="00E8017B"/>
    <w:rsid w:val="00E906F7"/>
    <w:rsid w:val="00E919ED"/>
    <w:rsid w:val="00E93C79"/>
    <w:rsid w:val="00E93F1B"/>
    <w:rsid w:val="00E97B59"/>
    <w:rsid w:val="00EA2485"/>
    <w:rsid w:val="00EA2713"/>
    <w:rsid w:val="00EA27E1"/>
    <w:rsid w:val="00EA3EEB"/>
    <w:rsid w:val="00EA4155"/>
    <w:rsid w:val="00EA7540"/>
    <w:rsid w:val="00EA79CA"/>
    <w:rsid w:val="00EB0809"/>
    <w:rsid w:val="00EB1391"/>
    <w:rsid w:val="00EB344E"/>
    <w:rsid w:val="00EB4388"/>
    <w:rsid w:val="00EB5CD6"/>
    <w:rsid w:val="00EB6E7E"/>
    <w:rsid w:val="00EC653D"/>
    <w:rsid w:val="00EC669D"/>
    <w:rsid w:val="00ED29DD"/>
    <w:rsid w:val="00ED2BF1"/>
    <w:rsid w:val="00ED5C8E"/>
    <w:rsid w:val="00ED6E7A"/>
    <w:rsid w:val="00EE41A0"/>
    <w:rsid w:val="00EE4C79"/>
    <w:rsid w:val="00EE56C9"/>
    <w:rsid w:val="00EE57C3"/>
    <w:rsid w:val="00EE7961"/>
    <w:rsid w:val="00EF0295"/>
    <w:rsid w:val="00EF3092"/>
    <w:rsid w:val="00EF33CC"/>
    <w:rsid w:val="00EF3F4A"/>
    <w:rsid w:val="00EF4EED"/>
    <w:rsid w:val="00F00335"/>
    <w:rsid w:val="00F00E72"/>
    <w:rsid w:val="00F01D6B"/>
    <w:rsid w:val="00F04D3A"/>
    <w:rsid w:val="00F07BCB"/>
    <w:rsid w:val="00F13BCB"/>
    <w:rsid w:val="00F14651"/>
    <w:rsid w:val="00F15428"/>
    <w:rsid w:val="00F16515"/>
    <w:rsid w:val="00F17E53"/>
    <w:rsid w:val="00F207BE"/>
    <w:rsid w:val="00F2362D"/>
    <w:rsid w:val="00F23F73"/>
    <w:rsid w:val="00F3632E"/>
    <w:rsid w:val="00F373CA"/>
    <w:rsid w:val="00F40BCF"/>
    <w:rsid w:val="00F42DD6"/>
    <w:rsid w:val="00F4301F"/>
    <w:rsid w:val="00F43523"/>
    <w:rsid w:val="00F44E7A"/>
    <w:rsid w:val="00F451A7"/>
    <w:rsid w:val="00F45C6D"/>
    <w:rsid w:val="00F45D81"/>
    <w:rsid w:val="00F460B3"/>
    <w:rsid w:val="00F52BA9"/>
    <w:rsid w:val="00F57827"/>
    <w:rsid w:val="00F60151"/>
    <w:rsid w:val="00F67ED2"/>
    <w:rsid w:val="00F70621"/>
    <w:rsid w:val="00F73209"/>
    <w:rsid w:val="00F75CDE"/>
    <w:rsid w:val="00F76FCE"/>
    <w:rsid w:val="00F80D59"/>
    <w:rsid w:val="00F81D64"/>
    <w:rsid w:val="00F85FCD"/>
    <w:rsid w:val="00F9292B"/>
    <w:rsid w:val="00F9312B"/>
    <w:rsid w:val="00F9571A"/>
    <w:rsid w:val="00FA1051"/>
    <w:rsid w:val="00FA20B9"/>
    <w:rsid w:val="00FA45B2"/>
    <w:rsid w:val="00FA5842"/>
    <w:rsid w:val="00FB3BB6"/>
    <w:rsid w:val="00FB7C57"/>
    <w:rsid w:val="00FC104B"/>
    <w:rsid w:val="00FC1BB9"/>
    <w:rsid w:val="00FC2522"/>
    <w:rsid w:val="00FC34EC"/>
    <w:rsid w:val="00FC4F53"/>
    <w:rsid w:val="00FC5A02"/>
    <w:rsid w:val="00FC76CD"/>
    <w:rsid w:val="00FD072A"/>
    <w:rsid w:val="00FD3B73"/>
    <w:rsid w:val="00FD3E8D"/>
    <w:rsid w:val="00FD4D8D"/>
    <w:rsid w:val="00FD5A8C"/>
    <w:rsid w:val="00FE3373"/>
    <w:rsid w:val="00FE48E1"/>
    <w:rsid w:val="00FE4F6C"/>
    <w:rsid w:val="00FE60C2"/>
    <w:rsid w:val="00FF10E5"/>
    <w:rsid w:val="00FF277B"/>
    <w:rsid w:val="00FF68BE"/>
    <w:rsid w:val="00F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74"/>
    <w:pPr>
      <w:ind w:left="720"/>
      <w:contextualSpacing/>
    </w:pPr>
  </w:style>
  <w:style w:type="paragraph" w:styleId="BalloonText">
    <w:name w:val="Balloon Text"/>
    <w:basedOn w:val="Normal"/>
    <w:link w:val="BalloonTextChar"/>
    <w:uiPriority w:val="99"/>
    <w:semiHidden/>
    <w:unhideWhenUsed/>
    <w:rsid w:val="00261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78"/>
    <w:rPr>
      <w:rFonts w:ascii="Tahoma" w:hAnsi="Tahoma" w:cs="Tahoma"/>
      <w:sz w:val="16"/>
      <w:szCs w:val="16"/>
    </w:rPr>
  </w:style>
  <w:style w:type="paragraph" w:styleId="Header">
    <w:name w:val="header"/>
    <w:basedOn w:val="Normal"/>
    <w:link w:val="HeaderChar"/>
    <w:uiPriority w:val="99"/>
    <w:unhideWhenUsed/>
    <w:rsid w:val="002C0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05"/>
  </w:style>
  <w:style w:type="paragraph" w:styleId="Footer">
    <w:name w:val="footer"/>
    <w:basedOn w:val="Normal"/>
    <w:link w:val="FooterChar"/>
    <w:uiPriority w:val="99"/>
    <w:unhideWhenUsed/>
    <w:rsid w:val="002C0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05"/>
  </w:style>
  <w:style w:type="character" w:styleId="Hyperlink">
    <w:name w:val="Hyperlink"/>
    <w:basedOn w:val="DefaultParagraphFont"/>
    <w:uiPriority w:val="99"/>
    <w:unhideWhenUsed/>
    <w:rsid w:val="00A522B2"/>
    <w:rPr>
      <w:color w:val="0000FF" w:themeColor="hyperlink"/>
      <w:u w:val="single"/>
    </w:rPr>
  </w:style>
  <w:style w:type="character" w:styleId="FollowedHyperlink">
    <w:name w:val="FollowedHyperlink"/>
    <w:basedOn w:val="DefaultParagraphFont"/>
    <w:uiPriority w:val="99"/>
    <w:semiHidden/>
    <w:unhideWhenUsed/>
    <w:rsid w:val="007F160B"/>
    <w:rPr>
      <w:color w:val="800080" w:themeColor="followedHyperlink"/>
      <w:u w:val="single"/>
    </w:rPr>
  </w:style>
  <w:style w:type="table" w:styleId="TableGrid">
    <w:name w:val="Table Grid"/>
    <w:basedOn w:val="TableNormal"/>
    <w:uiPriority w:val="59"/>
    <w:rsid w:val="00D7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38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8BB"/>
    <w:rPr>
      <w:sz w:val="20"/>
      <w:szCs w:val="20"/>
    </w:rPr>
  </w:style>
  <w:style w:type="character" w:styleId="FootnoteReference">
    <w:name w:val="footnote reference"/>
    <w:basedOn w:val="DefaultParagraphFont"/>
    <w:uiPriority w:val="99"/>
    <w:semiHidden/>
    <w:unhideWhenUsed/>
    <w:rsid w:val="008738BB"/>
    <w:rPr>
      <w:vertAlign w:val="superscript"/>
    </w:rPr>
  </w:style>
  <w:style w:type="character" w:styleId="CommentReference">
    <w:name w:val="annotation reference"/>
    <w:basedOn w:val="DefaultParagraphFont"/>
    <w:uiPriority w:val="99"/>
    <w:semiHidden/>
    <w:unhideWhenUsed/>
    <w:rsid w:val="00EA7540"/>
    <w:rPr>
      <w:sz w:val="16"/>
      <w:szCs w:val="16"/>
    </w:rPr>
  </w:style>
  <w:style w:type="paragraph" w:styleId="CommentText">
    <w:name w:val="annotation text"/>
    <w:basedOn w:val="Normal"/>
    <w:link w:val="CommentTextChar"/>
    <w:uiPriority w:val="99"/>
    <w:semiHidden/>
    <w:unhideWhenUsed/>
    <w:rsid w:val="00EA7540"/>
    <w:pPr>
      <w:spacing w:line="240" w:lineRule="auto"/>
    </w:pPr>
    <w:rPr>
      <w:sz w:val="20"/>
      <w:szCs w:val="20"/>
    </w:rPr>
  </w:style>
  <w:style w:type="character" w:customStyle="1" w:styleId="CommentTextChar">
    <w:name w:val="Comment Text Char"/>
    <w:basedOn w:val="DefaultParagraphFont"/>
    <w:link w:val="CommentText"/>
    <w:uiPriority w:val="99"/>
    <w:semiHidden/>
    <w:rsid w:val="00EA7540"/>
    <w:rPr>
      <w:sz w:val="20"/>
      <w:szCs w:val="20"/>
    </w:rPr>
  </w:style>
  <w:style w:type="paragraph" w:styleId="CommentSubject">
    <w:name w:val="annotation subject"/>
    <w:basedOn w:val="CommentText"/>
    <w:next w:val="CommentText"/>
    <w:link w:val="CommentSubjectChar"/>
    <w:uiPriority w:val="99"/>
    <w:semiHidden/>
    <w:unhideWhenUsed/>
    <w:rsid w:val="00EA7540"/>
    <w:rPr>
      <w:b/>
      <w:bCs/>
    </w:rPr>
  </w:style>
  <w:style w:type="character" w:customStyle="1" w:styleId="CommentSubjectChar">
    <w:name w:val="Comment Subject Char"/>
    <w:basedOn w:val="CommentTextChar"/>
    <w:link w:val="CommentSubject"/>
    <w:uiPriority w:val="99"/>
    <w:semiHidden/>
    <w:rsid w:val="00EA75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74"/>
    <w:pPr>
      <w:ind w:left="720"/>
      <w:contextualSpacing/>
    </w:pPr>
  </w:style>
  <w:style w:type="paragraph" w:styleId="BalloonText">
    <w:name w:val="Balloon Text"/>
    <w:basedOn w:val="Normal"/>
    <w:link w:val="BalloonTextChar"/>
    <w:uiPriority w:val="99"/>
    <w:semiHidden/>
    <w:unhideWhenUsed/>
    <w:rsid w:val="00261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78"/>
    <w:rPr>
      <w:rFonts w:ascii="Tahoma" w:hAnsi="Tahoma" w:cs="Tahoma"/>
      <w:sz w:val="16"/>
      <w:szCs w:val="16"/>
    </w:rPr>
  </w:style>
  <w:style w:type="paragraph" w:styleId="Header">
    <w:name w:val="header"/>
    <w:basedOn w:val="Normal"/>
    <w:link w:val="HeaderChar"/>
    <w:uiPriority w:val="99"/>
    <w:unhideWhenUsed/>
    <w:rsid w:val="002C0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05"/>
  </w:style>
  <w:style w:type="paragraph" w:styleId="Footer">
    <w:name w:val="footer"/>
    <w:basedOn w:val="Normal"/>
    <w:link w:val="FooterChar"/>
    <w:uiPriority w:val="99"/>
    <w:unhideWhenUsed/>
    <w:rsid w:val="002C0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05"/>
  </w:style>
  <w:style w:type="character" w:styleId="Hyperlink">
    <w:name w:val="Hyperlink"/>
    <w:basedOn w:val="DefaultParagraphFont"/>
    <w:uiPriority w:val="99"/>
    <w:unhideWhenUsed/>
    <w:rsid w:val="00A522B2"/>
    <w:rPr>
      <w:color w:val="0000FF" w:themeColor="hyperlink"/>
      <w:u w:val="single"/>
    </w:rPr>
  </w:style>
  <w:style w:type="character" w:styleId="FollowedHyperlink">
    <w:name w:val="FollowedHyperlink"/>
    <w:basedOn w:val="DefaultParagraphFont"/>
    <w:uiPriority w:val="99"/>
    <w:semiHidden/>
    <w:unhideWhenUsed/>
    <w:rsid w:val="007F160B"/>
    <w:rPr>
      <w:color w:val="800080" w:themeColor="followedHyperlink"/>
      <w:u w:val="single"/>
    </w:rPr>
  </w:style>
  <w:style w:type="table" w:styleId="TableGrid">
    <w:name w:val="Table Grid"/>
    <w:basedOn w:val="TableNormal"/>
    <w:uiPriority w:val="59"/>
    <w:rsid w:val="00D7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38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8BB"/>
    <w:rPr>
      <w:sz w:val="20"/>
      <w:szCs w:val="20"/>
    </w:rPr>
  </w:style>
  <w:style w:type="character" w:styleId="FootnoteReference">
    <w:name w:val="footnote reference"/>
    <w:basedOn w:val="DefaultParagraphFont"/>
    <w:uiPriority w:val="99"/>
    <w:semiHidden/>
    <w:unhideWhenUsed/>
    <w:rsid w:val="008738BB"/>
    <w:rPr>
      <w:vertAlign w:val="superscript"/>
    </w:rPr>
  </w:style>
  <w:style w:type="character" w:styleId="CommentReference">
    <w:name w:val="annotation reference"/>
    <w:basedOn w:val="DefaultParagraphFont"/>
    <w:uiPriority w:val="99"/>
    <w:semiHidden/>
    <w:unhideWhenUsed/>
    <w:rsid w:val="00EA7540"/>
    <w:rPr>
      <w:sz w:val="16"/>
      <w:szCs w:val="16"/>
    </w:rPr>
  </w:style>
  <w:style w:type="paragraph" w:styleId="CommentText">
    <w:name w:val="annotation text"/>
    <w:basedOn w:val="Normal"/>
    <w:link w:val="CommentTextChar"/>
    <w:uiPriority w:val="99"/>
    <w:semiHidden/>
    <w:unhideWhenUsed/>
    <w:rsid w:val="00EA7540"/>
    <w:pPr>
      <w:spacing w:line="240" w:lineRule="auto"/>
    </w:pPr>
    <w:rPr>
      <w:sz w:val="20"/>
      <w:szCs w:val="20"/>
    </w:rPr>
  </w:style>
  <w:style w:type="character" w:customStyle="1" w:styleId="CommentTextChar">
    <w:name w:val="Comment Text Char"/>
    <w:basedOn w:val="DefaultParagraphFont"/>
    <w:link w:val="CommentText"/>
    <w:uiPriority w:val="99"/>
    <w:semiHidden/>
    <w:rsid w:val="00EA7540"/>
    <w:rPr>
      <w:sz w:val="20"/>
      <w:szCs w:val="20"/>
    </w:rPr>
  </w:style>
  <w:style w:type="paragraph" w:styleId="CommentSubject">
    <w:name w:val="annotation subject"/>
    <w:basedOn w:val="CommentText"/>
    <w:next w:val="CommentText"/>
    <w:link w:val="CommentSubjectChar"/>
    <w:uiPriority w:val="99"/>
    <w:semiHidden/>
    <w:unhideWhenUsed/>
    <w:rsid w:val="00EA7540"/>
    <w:rPr>
      <w:b/>
      <w:bCs/>
    </w:rPr>
  </w:style>
  <w:style w:type="character" w:customStyle="1" w:styleId="CommentSubjectChar">
    <w:name w:val="Comment Subject Char"/>
    <w:basedOn w:val="CommentTextChar"/>
    <w:link w:val="CommentSubject"/>
    <w:uiPriority w:val="99"/>
    <w:semiHidden/>
    <w:rsid w:val="00EA7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486">
      <w:bodyDiv w:val="1"/>
      <w:marLeft w:val="0"/>
      <w:marRight w:val="0"/>
      <w:marTop w:val="0"/>
      <w:marBottom w:val="0"/>
      <w:divBdr>
        <w:top w:val="none" w:sz="0" w:space="0" w:color="auto"/>
        <w:left w:val="none" w:sz="0" w:space="0" w:color="auto"/>
        <w:bottom w:val="none" w:sz="0" w:space="0" w:color="auto"/>
        <w:right w:val="none" w:sz="0" w:space="0" w:color="auto"/>
      </w:divBdr>
    </w:div>
    <w:div w:id="190267876">
      <w:bodyDiv w:val="1"/>
      <w:marLeft w:val="0"/>
      <w:marRight w:val="0"/>
      <w:marTop w:val="0"/>
      <w:marBottom w:val="0"/>
      <w:divBdr>
        <w:top w:val="none" w:sz="0" w:space="0" w:color="auto"/>
        <w:left w:val="none" w:sz="0" w:space="0" w:color="auto"/>
        <w:bottom w:val="none" w:sz="0" w:space="0" w:color="auto"/>
        <w:right w:val="none" w:sz="0" w:space="0" w:color="auto"/>
      </w:divBdr>
    </w:div>
    <w:div w:id="229577702">
      <w:bodyDiv w:val="1"/>
      <w:marLeft w:val="0"/>
      <w:marRight w:val="0"/>
      <w:marTop w:val="0"/>
      <w:marBottom w:val="0"/>
      <w:divBdr>
        <w:top w:val="none" w:sz="0" w:space="0" w:color="auto"/>
        <w:left w:val="none" w:sz="0" w:space="0" w:color="auto"/>
        <w:bottom w:val="none" w:sz="0" w:space="0" w:color="auto"/>
        <w:right w:val="none" w:sz="0" w:space="0" w:color="auto"/>
      </w:divBdr>
    </w:div>
    <w:div w:id="234049798">
      <w:bodyDiv w:val="1"/>
      <w:marLeft w:val="0"/>
      <w:marRight w:val="0"/>
      <w:marTop w:val="0"/>
      <w:marBottom w:val="0"/>
      <w:divBdr>
        <w:top w:val="none" w:sz="0" w:space="0" w:color="auto"/>
        <w:left w:val="none" w:sz="0" w:space="0" w:color="auto"/>
        <w:bottom w:val="none" w:sz="0" w:space="0" w:color="auto"/>
        <w:right w:val="none" w:sz="0" w:space="0" w:color="auto"/>
      </w:divBdr>
    </w:div>
    <w:div w:id="431819960">
      <w:bodyDiv w:val="1"/>
      <w:marLeft w:val="0"/>
      <w:marRight w:val="0"/>
      <w:marTop w:val="0"/>
      <w:marBottom w:val="0"/>
      <w:divBdr>
        <w:top w:val="none" w:sz="0" w:space="0" w:color="auto"/>
        <w:left w:val="none" w:sz="0" w:space="0" w:color="auto"/>
        <w:bottom w:val="none" w:sz="0" w:space="0" w:color="auto"/>
        <w:right w:val="none" w:sz="0" w:space="0" w:color="auto"/>
      </w:divBdr>
    </w:div>
    <w:div w:id="544758641">
      <w:bodyDiv w:val="1"/>
      <w:marLeft w:val="0"/>
      <w:marRight w:val="0"/>
      <w:marTop w:val="0"/>
      <w:marBottom w:val="0"/>
      <w:divBdr>
        <w:top w:val="none" w:sz="0" w:space="0" w:color="auto"/>
        <w:left w:val="none" w:sz="0" w:space="0" w:color="auto"/>
        <w:bottom w:val="none" w:sz="0" w:space="0" w:color="auto"/>
        <w:right w:val="none" w:sz="0" w:space="0" w:color="auto"/>
      </w:divBdr>
    </w:div>
    <w:div w:id="574902326">
      <w:bodyDiv w:val="1"/>
      <w:marLeft w:val="0"/>
      <w:marRight w:val="0"/>
      <w:marTop w:val="0"/>
      <w:marBottom w:val="0"/>
      <w:divBdr>
        <w:top w:val="none" w:sz="0" w:space="0" w:color="auto"/>
        <w:left w:val="none" w:sz="0" w:space="0" w:color="auto"/>
        <w:bottom w:val="none" w:sz="0" w:space="0" w:color="auto"/>
        <w:right w:val="none" w:sz="0" w:space="0" w:color="auto"/>
      </w:divBdr>
    </w:div>
    <w:div w:id="886067082">
      <w:bodyDiv w:val="1"/>
      <w:marLeft w:val="0"/>
      <w:marRight w:val="0"/>
      <w:marTop w:val="0"/>
      <w:marBottom w:val="0"/>
      <w:divBdr>
        <w:top w:val="none" w:sz="0" w:space="0" w:color="auto"/>
        <w:left w:val="none" w:sz="0" w:space="0" w:color="auto"/>
        <w:bottom w:val="none" w:sz="0" w:space="0" w:color="auto"/>
        <w:right w:val="none" w:sz="0" w:space="0" w:color="auto"/>
      </w:divBdr>
    </w:div>
    <w:div w:id="920993106">
      <w:bodyDiv w:val="1"/>
      <w:marLeft w:val="0"/>
      <w:marRight w:val="0"/>
      <w:marTop w:val="0"/>
      <w:marBottom w:val="0"/>
      <w:divBdr>
        <w:top w:val="none" w:sz="0" w:space="0" w:color="auto"/>
        <w:left w:val="none" w:sz="0" w:space="0" w:color="auto"/>
        <w:bottom w:val="none" w:sz="0" w:space="0" w:color="auto"/>
        <w:right w:val="none" w:sz="0" w:space="0" w:color="auto"/>
      </w:divBdr>
    </w:div>
    <w:div w:id="958029970">
      <w:bodyDiv w:val="1"/>
      <w:marLeft w:val="0"/>
      <w:marRight w:val="0"/>
      <w:marTop w:val="0"/>
      <w:marBottom w:val="0"/>
      <w:divBdr>
        <w:top w:val="none" w:sz="0" w:space="0" w:color="auto"/>
        <w:left w:val="none" w:sz="0" w:space="0" w:color="auto"/>
        <w:bottom w:val="none" w:sz="0" w:space="0" w:color="auto"/>
        <w:right w:val="none" w:sz="0" w:space="0" w:color="auto"/>
      </w:divBdr>
    </w:div>
    <w:div w:id="1003629285">
      <w:bodyDiv w:val="1"/>
      <w:marLeft w:val="0"/>
      <w:marRight w:val="0"/>
      <w:marTop w:val="0"/>
      <w:marBottom w:val="0"/>
      <w:divBdr>
        <w:top w:val="none" w:sz="0" w:space="0" w:color="auto"/>
        <w:left w:val="none" w:sz="0" w:space="0" w:color="auto"/>
        <w:bottom w:val="none" w:sz="0" w:space="0" w:color="auto"/>
        <w:right w:val="none" w:sz="0" w:space="0" w:color="auto"/>
      </w:divBdr>
    </w:div>
    <w:div w:id="1023673953">
      <w:bodyDiv w:val="1"/>
      <w:marLeft w:val="0"/>
      <w:marRight w:val="0"/>
      <w:marTop w:val="0"/>
      <w:marBottom w:val="0"/>
      <w:divBdr>
        <w:top w:val="none" w:sz="0" w:space="0" w:color="auto"/>
        <w:left w:val="none" w:sz="0" w:space="0" w:color="auto"/>
        <w:bottom w:val="none" w:sz="0" w:space="0" w:color="auto"/>
        <w:right w:val="none" w:sz="0" w:space="0" w:color="auto"/>
      </w:divBdr>
    </w:div>
    <w:div w:id="1054767306">
      <w:bodyDiv w:val="1"/>
      <w:marLeft w:val="0"/>
      <w:marRight w:val="0"/>
      <w:marTop w:val="0"/>
      <w:marBottom w:val="0"/>
      <w:divBdr>
        <w:top w:val="none" w:sz="0" w:space="0" w:color="auto"/>
        <w:left w:val="none" w:sz="0" w:space="0" w:color="auto"/>
        <w:bottom w:val="none" w:sz="0" w:space="0" w:color="auto"/>
        <w:right w:val="none" w:sz="0" w:space="0" w:color="auto"/>
      </w:divBdr>
    </w:div>
    <w:div w:id="1060903834">
      <w:bodyDiv w:val="1"/>
      <w:marLeft w:val="0"/>
      <w:marRight w:val="0"/>
      <w:marTop w:val="0"/>
      <w:marBottom w:val="0"/>
      <w:divBdr>
        <w:top w:val="none" w:sz="0" w:space="0" w:color="auto"/>
        <w:left w:val="none" w:sz="0" w:space="0" w:color="auto"/>
        <w:bottom w:val="none" w:sz="0" w:space="0" w:color="auto"/>
        <w:right w:val="none" w:sz="0" w:space="0" w:color="auto"/>
      </w:divBdr>
    </w:div>
    <w:div w:id="1117486469">
      <w:bodyDiv w:val="1"/>
      <w:marLeft w:val="0"/>
      <w:marRight w:val="0"/>
      <w:marTop w:val="0"/>
      <w:marBottom w:val="0"/>
      <w:divBdr>
        <w:top w:val="none" w:sz="0" w:space="0" w:color="auto"/>
        <w:left w:val="none" w:sz="0" w:space="0" w:color="auto"/>
        <w:bottom w:val="none" w:sz="0" w:space="0" w:color="auto"/>
        <w:right w:val="none" w:sz="0" w:space="0" w:color="auto"/>
      </w:divBdr>
    </w:div>
    <w:div w:id="1563829666">
      <w:bodyDiv w:val="1"/>
      <w:marLeft w:val="0"/>
      <w:marRight w:val="0"/>
      <w:marTop w:val="0"/>
      <w:marBottom w:val="0"/>
      <w:divBdr>
        <w:top w:val="none" w:sz="0" w:space="0" w:color="auto"/>
        <w:left w:val="none" w:sz="0" w:space="0" w:color="auto"/>
        <w:bottom w:val="none" w:sz="0" w:space="0" w:color="auto"/>
        <w:right w:val="none" w:sz="0" w:space="0" w:color="auto"/>
      </w:divBdr>
    </w:div>
    <w:div w:id="1719206829">
      <w:bodyDiv w:val="1"/>
      <w:marLeft w:val="0"/>
      <w:marRight w:val="0"/>
      <w:marTop w:val="0"/>
      <w:marBottom w:val="0"/>
      <w:divBdr>
        <w:top w:val="none" w:sz="0" w:space="0" w:color="auto"/>
        <w:left w:val="none" w:sz="0" w:space="0" w:color="auto"/>
        <w:bottom w:val="none" w:sz="0" w:space="0" w:color="auto"/>
        <w:right w:val="none" w:sz="0" w:space="0" w:color="auto"/>
      </w:divBdr>
    </w:div>
    <w:div w:id="1997344817">
      <w:bodyDiv w:val="1"/>
      <w:marLeft w:val="0"/>
      <w:marRight w:val="0"/>
      <w:marTop w:val="0"/>
      <w:marBottom w:val="0"/>
      <w:divBdr>
        <w:top w:val="none" w:sz="0" w:space="0" w:color="auto"/>
        <w:left w:val="none" w:sz="0" w:space="0" w:color="auto"/>
        <w:bottom w:val="none" w:sz="0" w:space="0" w:color="auto"/>
        <w:right w:val="none" w:sz="0" w:space="0" w:color="auto"/>
      </w:divBdr>
    </w:div>
    <w:div w:id="20737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Primary (%)</c:v>
                </c:pt>
              </c:strCache>
            </c:strRef>
          </c:tx>
          <c:invertIfNegative val="0"/>
          <c:cat>
            <c:strRef>
              <c:f>Sheet1!$B$1:$E$1</c:f>
              <c:strCache>
                <c:ptCount val="4"/>
                <c:pt idx="0">
                  <c:v>NMD 2001</c:v>
                </c:pt>
                <c:pt idx="1">
                  <c:v>NMD 2011</c:v>
                </c:pt>
                <c:pt idx="2">
                  <c:v>NI 2001</c:v>
                </c:pt>
                <c:pt idx="3">
                  <c:v>NI 2011</c:v>
                </c:pt>
              </c:strCache>
            </c:strRef>
          </c:cat>
          <c:val>
            <c:numRef>
              <c:f>Sheet1!$B$2:$E$2</c:f>
              <c:numCache>
                <c:formatCode>General</c:formatCode>
                <c:ptCount val="4"/>
                <c:pt idx="0">
                  <c:v>4.05</c:v>
                </c:pt>
                <c:pt idx="1">
                  <c:v>3.03</c:v>
                </c:pt>
                <c:pt idx="2">
                  <c:v>3.02</c:v>
                </c:pt>
                <c:pt idx="3">
                  <c:v>2.4900000000000002</c:v>
                </c:pt>
              </c:numCache>
            </c:numRef>
          </c:val>
        </c:ser>
        <c:ser>
          <c:idx val="1"/>
          <c:order val="1"/>
          <c:tx>
            <c:strRef>
              <c:f>Sheet1!$A$3</c:f>
              <c:strCache>
                <c:ptCount val="1"/>
                <c:pt idx="0">
                  <c:v>Secondary (%)</c:v>
                </c:pt>
              </c:strCache>
            </c:strRef>
          </c:tx>
          <c:invertIfNegative val="0"/>
          <c:cat>
            <c:strRef>
              <c:f>Sheet1!$B$1:$E$1</c:f>
              <c:strCache>
                <c:ptCount val="4"/>
                <c:pt idx="0">
                  <c:v>NMD 2001</c:v>
                </c:pt>
                <c:pt idx="1">
                  <c:v>NMD 2011</c:v>
                </c:pt>
                <c:pt idx="2">
                  <c:v>NI 2001</c:v>
                </c:pt>
                <c:pt idx="3">
                  <c:v>NI 2011</c:v>
                </c:pt>
              </c:strCache>
            </c:strRef>
          </c:cat>
          <c:val>
            <c:numRef>
              <c:f>Sheet1!$B$3:$E$3</c:f>
              <c:numCache>
                <c:formatCode>General</c:formatCode>
                <c:ptCount val="4"/>
                <c:pt idx="0">
                  <c:v>26.2</c:v>
                </c:pt>
                <c:pt idx="1">
                  <c:v>20.76</c:v>
                </c:pt>
                <c:pt idx="2">
                  <c:v>24.17</c:v>
                </c:pt>
                <c:pt idx="3">
                  <c:v>17.87</c:v>
                </c:pt>
              </c:numCache>
            </c:numRef>
          </c:val>
        </c:ser>
        <c:ser>
          <c:idx val="2"/>
          <c:order val="2"/>
          <c:tx>
            <c:strRef>
              <c:f>Sheet1!$A$4</c:f>
              <c:strCache>
                <c:ptCount val="1"/>
                <c:pt idx="0">
                  <c:v>Tertiary (%)</c:v>
                </c:pt>
              </c:strCache>
            </c:strRef>
          </c:tx>
          <c:invertIfNegative val="0"/>
          <c:cat>
            <c:strRef>
              <c:f>Sheet1!$B$1:$E$1</c:f>
              <c:strCache>
                <c:ptCount val="4"/>
                <c:pt idx="0">
                  <c:v>NMD 2001</c:v>
                </c:pt>
                <c:pt idx="1">
                  <c:v>NMD 2011</c:v>
                </c:pt>
                <c:pt idx="2">
                  <c:v>NI 2001</c:v>
                </c:pt>
                <c:pt idx="3">
                  <c:v>NI 2011</c:v>
                </c:pt>
              </c:strCache>
            </c:strRef>
          </c:cat>
          <c:val>
            <c:numRef>
              <c:f>Sheet1!$B$4:$E$4</c:f>
              <c:numCache>
                <c:formatCode>General</c:formatCode>
                <c:ptCount val="4"/>
                <c:pt idx="0">
                  <c:v>69.75</c:v>
                </c:pt>
                <c:pt idx="1">
                  <c:v>76.22</c:v>
                </c:pt>
                <c:pt idx="2">
                  <c:v>72.81</c:v>
                </c:pt>
                <c:pt idx="3">
                  <c:v>79.64</c:v>
                </c:pt>
              </c:numCache>
            </c:numRef>
          </c:val>
        </c:ser>
        <c:dLbls>
          <c:showLegendKey val="0"/>
          <c:showVal val="0"/>
          <c:showCatName val="0"/>
          <c:showSerName val="0"/>
          <c:showPercent val="0"/>
          <c:showBubbleSize val="0"/>
        </c:dLbls>
        <c:gapWidth val="150"/>
        <c:axId val="110781440"/>
        <c:axId val="75293248"/>
      </c:barChart>
      <c:catAx>
        <c:axId val="110781440"/>
        <c:scaling>
          <c:orientation val="minMax"/>
        </c:scaling>
        <c:delete val="0"/>
        <c:axPos val="b"/>
        <c:title>
          <c:tx>
            <c:rich>
              <a:bodyPr/>
              <a:lstStyle/>
              <a:p>
                <a:pPr>
                  <a:defRPr/>
                </a:pPr>
                <a:r>
                  <a:rPr lang="en-GB"/>
                  <a:t>Area</a:t>
                </a:r>
                <a:r>
                  <a:rPr lang="en-GB" baseline="0"/>
                  <a:t> &amp; Year</a:t>
                </a:r>
                <a:endParaRPr lang="en-GB"/>
              </a:p>
            </c:rich>
          </c:tx>
          <c:layout/>
          <c:overlay val="0"/>
        </c:title>
        <c:majorTickMark val="out"/>
        <c:minorTickMark val="none"/>
        <c:tickLblPos val="nextTo"/>
        <c:crossAx val="75293248"/>
        <c:crosses val="autoZero"/>
        <c:auto val="1"/>
        <c:lblAlgn val="ctr"/>
        <c:lblOffset val="100"/>
        <c:noMultiLvlLbl val="0"/>
      </c:catAx>
      <c:valAx>
        <c:axId val="75293248"/>
        <c:scaling>
          <c:orientation val="minMax"/>
        </c:scaling>
        <c:delete val="0"/>
        <c:axPos val="l"/>
        <c:majorGridlines/>
        <c:title>
          <c:tx>
            <c:rich>
              <a:bodyPr rot="-5400000" vert="horz"/>
              <a:lstStyle/>
              <a:p>
                <a:pPr>
                  <a:defRPr/>
                </a:pPr>
                <a:r>
                  <a:rPr lang="en-GB"/>
                  <a:t>Percentage</a:t>
                </a:r>
              </a:p>
            </c:rich>
          </c:tx>
          <c:layout/>
          <c:overlay val="0"/>
        </c:title>
        <c:numFmt formatCode="General" sourceLinked="1"/>
        <c:majorTickMark val="out"/>
        <c:minorTickMark val="none"/>
        <c:tickLblPos val="nextTo"/>
        <c:crossAx val="1107814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Sheet1!$B$33</c:f>
              <c:strCache>
                <c:ptCount val="1"/>
                <c:pt idx="0">
                  <c:v>2013</c:v>
                </c:pt>
              </c:strCache>
            </c:strRef>
          </c:tx>
          <c:invertIfNegative val="0"/>
          <c:cat>
            <c:strRef>
              <c:f>Sheet1!$A$34:$A$59</c:f>
              <c:strCache>
                <c:ptCount val="26"/>
                <c:pt idx="0">
                  <c:v>Belfast</c:v>
                </c:pt>
                <c:pt idx="1">
                  <c:v>Newry &amp; Mourne</c:v>
                </c:pt>
                <c:pt idx="2">
                  <c:v>Fermanagh</c:v>
                </c:pt>
                <c:pt idx="3">
                  <c:v>Lisburn</c:v>
                </c:pt>
                <c:pt idx="4">
                  <c:v>Dungannon</c:v>
                </c:pt>
                <c:pt idx="5">
                  <c:v>Omagh</c:v>
                </c:pt>
                <c:pt idx="6">
                  <c:v>Armagh</c:v>
                </c:pt>
                <c:pt idx="7">
                  <c:v>Down</c:v>
                </c:pt>
                <c:pt idx="8">
                  <c:v>Ballymena</c:v>
                </c:pt>
                <c:pt idx="9">
                  <c:v>Craigavon</c:v>
                </c:pt>
                <c:pt idx="10">
                  <c:v>Derry</c:v>
                </c:pt>
                <c:pt idx="11">
                  <c:v>Magherafelt</c:v>
                </c:pt>
                <c:pt idx="12">
                  <c:v>Ards</c:v>
                </c:pt>
                <c:pt idx="13">
                  <c:v>Cookstown</c:v>
                </c:pt>
                <c:pt idx="14">
                  <c:v>Banbridge</c:v>
                </c:pt>
                <c:pt idx="15">
                  <c:v>Coleraine</c:v>
                </c:pt>
                <c:pt idx="16">
                  <c:v>North Down</c:v>
                </c:pt>
                <c:pt idx="17">
                  <c:v>Antrim</c:v>
                </c:pt>
                <c:pt idx="18">
                  <c:v>Strabane</c:v>
                </c:pt>
                <c:pt idx="19">
                  <c:v>Newtownabbey</c:v>
                </c:pt>
                <c:pt idx="20">
                  <c:v>Ballymoney</c:v>
                </c:pt>
                <c:pt idx="21">
                  <c:v>Castlereagh</c:v>
                </c:pt>
                <c:pt idx="22">
                  <c:v>Limavady</c:v>
                </c:pt>
                <c:pt idx="23">
                  <c:v>Larne</c:v>
                </c:pt>
                <c:pt idx="24">
                  <c:v>Moyle</c:v>
                </c:pt>
                <c:pt idx="25">
                  <c:v>Carrickfergus</c:v>
                </c:pt>
              </c:strCache>
            </c:strRef>
          </c:cat>
          <c:val>
            <c:numRef>
              <c:f>Sheet1!$B$34:$B$59</c:f>
              <c:numCache>
                <c:formatCode>#,##0</c:formatCode>
                <c:ptCount val="26"/>
                <c:pt idx="0">
                  <c:v>8555</c:v>
                </c:pt>
                <c:pt idx="1">
                  <c:v>4625</c:v>
                </c:pt>
                <c:pt idx="2">
                  <c:v>4175</c:v>
                </c:pt>
                <c:pt idx="3">
                  <c:v>3685</c:v>
                </c:pt>
                <c:pt idx="4">
                  <c:v>3340</c:v>
                </c:pt>
                <c:pt idx="5">
                  <c:v>3165</c:v>
                </c:pt>
                <c:pt idx="6">
                  <c:v>3145</c:v>
                </c:pt>
                <c:pt idx="7">
                  <c:v>2705</c:v>
                </c:pt>
                <c:pt idx="8">
                  <c:v>2670</c:v>
                </c:pt>
                <c:pt idx="9">
                  <c:v>2650</c:v>
                </c:pt>
                <c:pt idx="10">
                  <c:v>2580</c:v>
                </c:pt>
                <c:pt idx="11">
                  <c:v>2465</c:v>
                </c:pt>
                <c:pt idx="12">
                  <c:v>2440</c:v>
                </c:pt>
                <c:pt idx="13">
                  <c:v>2280</c:v>
                </c:pt>
                <c:pt idx="14">
                  <c:v>2165</c:v>
                </c:pt>
                <c:pt idx="15">
                  <c:v>2070</c:v>
                </c:pt>
                <c:pt idx="16">
                  <c:v>1935</c:v>
                </c:pt>
                <c:pt idx="17">
                  <c:v>1900</c:v>
                </c:pt>
                <c:pt idx="18">
                  <c:v>1900</c:v>
                </c:pt>
                <c:pt idx="19">
                  <c:v>1860</c:v>
                </c:pt>
                <c:pt idx="20">
                  <c:v>1380</c:v>
                </c:pt>
                <c:pt idx="21">
                  <c:v>1385</c:v>
                </c:pt>
                <c:pt idx="22">
                  <c:v>1290</c:v>
                </c:pt>
                <c:pt idx="23">
                  <c:v>1130</c:v>
                </c:pt>
                <c:pt idx="24">
                  <c:v>840</c:v>
                </c:pt>
                <c:pt idx="25">
                  <c:v>755</c:v>
                </c:pt>
              </c:numCache>
            </c:numRef>
          </c:val>
        </c:ser>
        <c:ser>
          <c:idx val="1"/>
          <c:order val="1"/>
          <c:tx>
            <c:strRef>
              <c:f>Sheet1!$C$33</c:f>
              <c:strCache>
                <c:ptCount val="1"/>
                <c:pt idx="0">
                  <c:v>2014</c:v>
                </c:pt>
              </c:strCache>
            </c:strRef>
          </c:tx>
          <c:invertIfNegative val="0"/>
          <c:cat>
            <c:strRef>
              <c:f>Sheet1!$A$34:$A$59</c:f>
              <c:strCache>
                <c:ptCount val="26"/>
                <c:pt idx="0">
                  <c:v>Belfast</c:v>
                </c:pt>
                <c:pt idx="1">
                  <c:v>Newry &amp; Mourne</c:v>
                </c:pt>
                <c:pt idx="2">
                  <c:v>Fermanagh</c:v>
                </c:pt>
                <c:pt idx="3">
                  <c:v>Lisburn</c:v>
                </c:pt>
                <c:pt idx="4">
                  <c:v>Dungannon</c:v>
                </c:pt>
                <c:pt idx="5">
                  <c:v>Omagh</c:v>
                </c:pt>
                <c:pt idx="6">
                  <c:v>Armagh</c:v>
                </c:pt>
                <c:pt idx="7">
                  <c:v>Down</c:v>
                </c:pt>
                <c:pt idx="8">
                  <c:v>Ballymena</c:v>
                </c:pt>
                <c:pt idx="9">
                  <c:v>Craigavon</c:v>
                </c:pt>
                <c:pt idx="10">
                  <c:v>Derry</c:v>
                </c:pt>
                <c:pt idx="11">
                  <c:v>Magherafelt</c:v>
                </c:pt>
                <c:pt idx="12">
                  <c:v>Ards</c:v>
                </c:pt>
                <c:pt idx="13">
                  <c:v>Cookstown</c:v>
                </c:pt>
                <c:pt idx="14">
                  <c:v>Banbridge</c:v>
                </c:pt>
                <c:pt idx="15">
                  <c:v>Coleraine</c:v>
                </c:pt>
                <c:pt idx="16">
                  <c:v>North Down</c:v>
                </c:pt>
                <c:pt idx="17">
                  <c:v>Antrim</c:v>
                </c:pt>
                <c:pt idx="18">
                  <c:v>Strabane</c:v>
                </c:pt>
                <c:pt idx="19">
                  <c:v>Newtownabbey</c:v>
                </c:pt>
                <c:pt idx="20">
                  <c:v>Ballymoney</c:v>
                </c:pt>
                <c:pt idx="21">
                  <c:v>Castlereagh</c:v>
                </c:pt>
                <c:pt idx="22">
                  <c:v>Limavady</c:v>
                </c:pt>
                <c:pt idx="23">
                  <c:v>Larne</c:v>
                </c:pt>
                <c:pt idx="24">
                  <c:v>Moyle</c:v>
                </c:pt>
                <c:pt idx="25">
                  <c:v>Carrickfergus</c:v>
                </c:pt>
              </c:strCache>
            </c:strRef>
          </c:cat>
          <c:val>
            <c:numRef>
              <c:f>Sheet1!$C$34:$C$59</c:f>
              <c:numCache>
                <c:formatCode>#,##0</c:formatCode>
                <c:ptCount val="26"/>
                <c:pt idx="0">
                  <c:v>8745</c:v>
                </c:pt>
                <c:pt idx="1">
                  <c:v>4605</c:v>
                </c:pt>
                <c:pt idx="2">
                  <c:v>4115</c:v>
                </c:pt>
                <c:pt idx="3">
                  <c:v>3710</c:v>
                </c:pt>
                <c:pt idx="4">
                  <c:v>3315</c:v>
                </c:pt>
                <c:pt idx="5">
                  <c:v>3190</c:v>
                </c:pt>
                <c:pt idx="6">
                  <c:v>3085</c:v>
                </c:pt>
                <c:pt idx="7">
                  <c:v>2730</c:v>
                </c:pt>
                <c:pt idx="8">
                  <c:v>2620</c:v>
                </c:pt>
                <c:pt idx="9">
                  <c:v>2640</c:v>
                </c:pt>
                <c:pt idx="10">
                  <c:v>2610</c:v>
                </c:pt>
                <c:pt idx="11">
                  <c:v>2465</c:v>
                </c:pt>
                <c:pt idx="12">
                  <c:v>2395</c:v>
                </c:pt>
                <c:pt idx="13">
                  <c:v>2270</c:v>
                </c:pt>
                <c:pt idx="14">
                  <c:v>2180</c:v>
                </c:pt>
                <c:pt idx="15">
                  <c:v>2075</c:v>
                </c:pt>
                <c:pt idx="16">
                  <c:v>1890</c:v>
                </c:pt>
                <c:pt idx="17">
                  <c:v>1860</c:v>
                </c:pt>
                <c:pt idx="18">
                  <c:v>1950</c:v>
                </c:pt>
                <c:pt idx="19">
                  <c:v>1870</c:v>
                </c:pt>
                <c:pt idx="20">
                  <c:v>1345</c:v>
                </c:pt>
                <c:pt idx="21">
                  <c:v>1390</c:v>
                </c:pt>
                <c:pt idx="22">
                  <c:v>1265</c:v>
                </c:pt>
                <c:pt idx="23">
                  <c:v>1135</c:v>
                </c:pt>
                <c:pt idx="24">
                  <c:v>840</c:v>
                </c:pt>
                <c:pt idx="25">
                  <c:v>745</c:v>
                </c:pt>
              </c:numCache>
            </c:numRef>
          </c:val>
        </c:ser>
        <c:dLbls>
          <c:showLegendKey val="0"/>
          <c:showVal val="0"/>
          <c:showCatName val="0"/>
          <c:showSerName val="0"/>
          <c:showPercent val="0"/>
          <c:showBubbleSize val="0"/>
        </c:dLbls>
        <c:gapWidth val="150"/>
        <c:axId val="111641600"/>
        <c:axId val="75282624"/>
      </c:barChart>
      <c:catAx>
        <c:axId val="111641600"/>
        <c:scaling>
          <c:orientation val="minMax"/>
        </c:scaling>
        <c:delete val="0"/>
        <c:axPos val="b"/>
        <c:title>
          <c:tx>
            <c:rich>
              <a:bodyPr/>
              <a:lstStyle/>
              <a:p>
                <a:pPr>
                  <a:defRPr/>
                </a:pPr>
                <a:r>
                  <a:rPr lang="en-GB"/>
                  <a:t>Local</a:t>
                </a:r>
                <a:r>
                  <a:rPr lang="en-GB" baseline="0"/>
                  <a:t> Government District</a:t>
                </a:r>
                <a:endParaRPr lang="en-GB"/>
              </a:p>
            </c:rich>
          </c:tx>
          <c:layout/>
          <c:overlay val="0"/>
        </c:title>
        <c:majorTickMark val="out"/>
        <c:minorTickMark val="none"/>
        <c:tickLblPos val="nextTo"/>
        <c:txPr>
          <a:bodyPr rot="-5400000" vert="horz"/>
          <a:lstStyle/>
          <a:p>
            <a:pPr>
              <a:defRPr/>
            </a:pPr>
            <a:endParaRPr lang="en-US"/>
          </a:p>
        </c:txPr>
        <c:crossAx val="75282624"/>
        <c:crosses val="autoZero"/>
        <c:auto val="1"/>
        <c:lblAlgn val="ctr"/>
        <c:lblOffset val="100"/>
        <c:noMultiLvlLbl val="0"/>
      </c:catAx>
      <c:valAx>
        <c:axId val="75282624"/>
        <c:scaling>
          <c:orientation val="minMax"/>
        </c:scaling>
        <c:delete val="0"/>
        <c:axPos val="l"/>
        <c:majorGridlines/>
        <c:title>
          <c:tx>
            <c:rich>
              <a:bodyPr rot="-5400000" vert="horz"/>
              <a:lstStyle/>
              <a:p>
                <a:pPr>
                  <a:defRPr/>
                </a:pPr>
                <a:r>
                  <a:rPr lang="en-GB"/>
                  <a:t>Number</a:t>
                </a:r>
                <a:r>
                  <a:rPr lang="en-GB" baseline="0"/>
                  <a:t> of Businesses</a:t>
                </a:r>
                <a:endParaRPr lang="en-GB"/>
              </a:p>
            </c:rich>
          </c:tx>
          <c:layout/>
          <c:overlay val="0"/>
        </c:title>
        <c:numFmt formatCode="#,##0" sourceLinked="1"/>
        <c:majorTickMark val="out"/>
        <c:minorTickMark val="none"/>
        <c:tickLblPos val="nextTo"/>
        <c:crossAx val="1116416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Sheet1!$A$7</c:f>
              <c:strCache>
                <c:ptCount val="1"/>
                <c:pt idx="0">
                  <c:v>NMD</c:v>
                </c:pt>
              </c:strCache>
            </c:strRef>
          </c:tx>
          <c:explosion val="25"/>
          <c:dLbls>
            <c:showLegendKey val="0"/>
            <c:showVal val="1"/>
            <c:showCatName val="1"/>
            <c:showSerName val="0"/>
            <c:showPercent val="0"/>
            <c:showBubbleSize val="0"/>
            <c:showLeaderLines val="1"/>
          </c:dLbls>
          <c:cat>
            <c:strRef>
              <c:f>Sheet1!$B$6:$E$6</c:f>
              <c:strCache>
                <c:ptCount val="4"/>
                <c:pt idx="0">
                  <c:v>Male Part-time (%)</c:v>
                </c:pt>
                <c:pt idx="1">
                  <c:v>Female Part-time (%)</c:v>
                </c:pt>
                <c:pt idx="2">
                  <c:v>Male Full-time (%)</c:v>
                </c:pt>
                <c:pt idx="3">
                  <c:v>Female Full-time (%)</c:v>
                </c:pt>
              </c:strCache>
            </c:strRef>
          </c:cat>
          <c:val>
            <c:numRef>
              <c:f>Sheet1!$B$7:$E$7</c:f>
              <c:numCache>
                <c:formatCode>#,##0.0</c:formatCode>
                <c:ptCount val="4"/>
                <c:pt idx="0">
                  <c:v>9.6999999999999993</c:v>
                </c:pt>
                <c:pt idx="1">
                  <c:v>28.3</c:v>
                </c:pt>
                <c:pt idx="2">
                  <c:v>35.6</c:v>
                </c:pt>
                <c:pt idx="3">
                  <c:v>26.4</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NI</c:v>
                </c:pt>
              </c:strCache>
            </c:strRef>
          </c:tx>
          <c:invertIfNegative val="0"/>
          <c:cat>
            <c:numRef>
              <c:f>Sheet1!$B$2:$D$2</c:f>
              <c:numCache>
                <c:formatCode>General</c:formatCode>
                <c:ptCount val="3"/>
                <c:pt idx="0">
                  <c:v>1991</c:v>
                </c:pt>
                <c:pt idx="1">
                  <c:v>2001</c:v>
                </c:pt>
                <c:pt idx="2">
                  <c:v>2011</c:v>
                </c:pt>
              </c:numCache>
            </c:numRef>
          </c:cat>
          <c:val>
            <c:numRef>
              <c:f>Sheet1!$B$3:$D$3</c:f>
              <c:numCache>
                <c:formatCode>General</c:formatCode>
                <c:ptCount val="3"/>
                <c:pt idx="0">
                  <c:v>9.16</c:v>
                </c:pt>
                <c:pt idx="1">
                  <c:v>4.1399999999999997</c:v>
                </c:pt>
                <c:pt idx="2">
                  <c:v>4.96</c:v>
                </c:pt>
              </c:numCache>
            </c:numRef>
          </c:val>
        </c:ser>
        <c:ser>
          <c:idx val="1"/>
          <c:order val="1"/>
          <c:tx>
            <c:strRef>
              <c:f>Sheet1!$A$4</c:f>
              <c:strCache>
                <c:ptCount val="1"/>
                <c:pt idx="0">
                  <c:v>NMDC</c:v>
                </c:pt>
              </c:strCache>
            </c:strRef>
          </c:tx>
          <c:invertIfNegative val="0"/>
          <c:cat>
            <c:numRef>
              <c:f>Sheet1!$B$2:$D$2</c:f>
              <c:numCache>
                <c:formatCode>General</c:formatCode>
                <c:ptCount val="3"/>
                <c:pt idx="0">
                  <c:v>1991</c:v>
                </c:pt>
                <c:pt idx="1">
                  <c:v>2001</c:v>
                </c:pt>
                <c:pt idx="2">
                  <c:v>2011</c:v>
                </c:pt>
              </c:numCache>
            </c:numRef>
          </c:cat>
          <c:val>
            <c:numRef>
              <c:f>Sheet1!$B$4:$D$4</c:f>
              <c:numCache>
                <c:formatCode>General</c:formatCode>
                <c:ptCount val="3"/>
                <c:pt idx="0">
                  <c:v>12.23</c:v>
                </c:pt>
                <c:pt idx="1">
                  <c:v>4.71</c:v>
                </c:pt>
                <c:pt idx="2">
                  <c:v>6.12</c:v>
                </c:pt>
              </c:numCache>
            </c:numRef>
          </c:val>
        </c:ser>
        <c:ser>
          <c:idx val="2"/>
          <c:order val="2"/>
          <c:tx>
            <c:strRef>
              <c:f>Sheet1!$A$5</c:f>
              <c:strCache>
                <c:ptCount val="1"/>
                <c:pt idx="0">
                  <c:v>DDC</c:v>
                </c:pt>
              </c:strCache>
            </c:strRef>
          </c:tx>
          <c:invertIfNegative val="0"/>
          <c:cat>
            <c:numRef>
              <c:f>Sheet1!$B$2:$D$2</c:f>
              <c:numCache>
                <c:formatCode>General</c:formatCode>
                <c:ptCount val="3"/>
                <c:pt idx="0">
                  <c:v>1991</c:v>
                </c:pt>
                <c:pt idx="1">
                  <c:v>2001</c:v>
                </c:pt>
                <c:pt idx="2">
                  <c:v>2011</c:v>
                </c:pt>
              </c:numCache>
            </c:numRef>
          </c:cat>
          <c:val>
            <c:numRef>
              <c:f>Sheet1!$B$5:$D$5</c:f>
              <c:numCache>
                <c:formatCode>General</c:formatCode>
                <c:ptCount val="3"/>
                <c:pt idx="0">
                  <c:v>7.44</c:v>
                </c:pt>
                <c:pt idx="1">
                  <c:v>3.69</c:v>
                </c:pt>
                <c:pt idx="2">
                  <c:v>4.8899999999999997</c:v>
                </c:pt>
              </c:numCache>
            </c:numRef>
          </c:val>
        </c:ser>
        <c:ser>
          <c:idx val="3"/>
          <c:order val="3"/>
          <c:tx>
            <c:strRef>
              <c:f>Sheet1!$A$6</c:f>
              <c:strCache>
                <c:ptCount val="1"/>
                <c:pt idx="0">
                  <c:v>NMD</c:v>
                </c:pt>
              </c:strCache>
            </c:strRef>
          </c:tx>
          <c:invertIfNegative val="0"/>
          <c:cat>
            <c:numRef>
              <c:f>Sheet1!$B$2:$D$2</c:f>
              <c:numCache>
                <c:formatCode>General</c:formatCode>
                <c:ptCount val="3"/>
                <c:pt idx="0">
                  <c:v>1991</c:v>
                </c:pt>
                <c:pt idx="1">
                  <c:v>2001</c:v>
                </c:pt>
                <c:pt idx="2">
                  <c:v>2011</c:v>
                </c:pt>
              </c:numCache>
            </c:numRef>
          </c:cat>
          <c:val>
            <c:numRef>
              <c:f>Sheet1!$B$6:$D$6</c:f>
              <c:numCache>
                <c:formatCode>General</c:formatCode>
                <c:ptCount val="3"/>
                <c:pt idx="0">
                  <c:v>9.84</c:v>
                </c:pt>
                <c:pt idx="1">
                  <c:v>4.2</c:v>
                </c:pt>
                <c:pt idx="2">
                  <c:v>5.5</c:v>
                </c:pt>
              </c:numCache>
            </c:numRef>
          </c:val>
        </c:ser>
        <c:dLbls>
          <c:showLegendKey val="0"/>
          <c:showVal val="0"/>
          <c:showCatName val="0"/>
          <c:showSerName val="0"/>
          <c:showPercent val="0"/>
          <c:showBubbleSize val="0"/>
        </c:dLbls>
        <c:gapWidth val="150"/>
        <c:axId val="110394368"/>
        <c:axId val="75280896"/>
      </c:barChart>
      <c:catAx>
        <c:axId val="110394368"/>
        <c:scaling>
          <c:orientation val="minMax"/>
        </c:scaling>
        <c:delete val="0"/>
        <c:axPos val="b"/>
        <c:title>
          <c:tx>
            <c:rich>
              <a:bodyPr/>
              <a:lstStyle/>
              <a:p>
                <a:pPr>
                  <a:defRPr/>
                </a:pPr>
                <a:r>
                  <a:rPr lang="en-GB"/>
                  <a:t>Year</a:t>
                </a:r>
              </a:p>
            </c:rich>
          </c:tx>
          <c:layout/>
          <c:overlay val="0"/>
        </c:title>
        <c:numFmt formatCode="General" sourceLinked="1"/>
        <c:majorTickMark val="out"/>
        <c:minorTickMark val="none"/>
        <c:tickLblPos val="nextTo"/>
        <c:crossAx val="75280896"/>
        <c:crosses val="autoZero"/>
        <c:auto val="1"/>
        <c:lblAlgn val="ctr"/>
        <c:lblOffset val="100"/>
        <c:noMultiLvlLbl val="0"/>
      </c:catAx>
      <c:valAx>
        <c:axId val="75280896"/>
        <c:scaling>
          <c:orientation val="minMax"/>
        </c:scaling>
        <c:delete val="0"/>
        <c:axPos val="l"/>
        <c:majorGridlines/>
        <c:title>
          <c:tx>
            <c:rich>
              <a:bodyPr rot="-5400000" vert="horz"/>
              <a:lstStyle/>
              <a:p>
                <a:pPr>
                  <a:defRPr/>
                </a:pPr>
                <a:r>
                  <a:rPr lang="en-US"/>
                  <a:t>Percentage</a:t>
                </a:r>
              </a:p>
            </c:rich>
          </c:tx>
          <c:layout/>
          <c:overlay val="0"/>
        </c:title>
        <c:numFmt formatCode="General" sourceLinked="1"/>
        <c:majorTickMark val="out"/>
        <c:minorTickMark val="none"/>
        <c:tickLblPos val="nextTo"/>
        <c:crossAx val="1103943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Sheet1!$A$3</c:f>
              <c:strCache>
                <c:ptCount val="1"/>
                <c:pt idx="0">
                  <c:v>NI</c:v>
                </c:pt>
              </c:strCache>
            </c:strRef>
          </c:tx>
          <c:marker>
            <c:symbol val="none"/>
          </c:marker>
          <c:cat>
            <c:strRef>
              <c:f>Sheet1!$B$1:$O$2</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Sheet1!$B$3:$O$3</c:f>
              <c:numCache>
                <c:formatCode>#,##0.0</c:formatCode>
                <c:ptCount val="14"/>
                <c:pt idx="0" formatCode="General">
                  <c:v>3.7</c:v>
                </c:pt>
                <c:pt idx="1">
                  <c:v>3.4</c:v>
                </c:pt>
                <c:pt idx="2" formatCode="General">
                  <c:v>3.2</c:v>
                </c:pt>
                <c:pt idx="3" formatCode="General">
                  <c:v>2.8</c:v>
                </c:pt>
                <c:pt idx="4" formatCode="General">
                  <c:v>2.6</c:v>
                </c:pt>
                <c:pt idx="5" formatCode="General">
                  <c:v>2.5</c:v>
                </c:pt>
                <c:pt idx="6" formatCode="General">
                  <c:v>2.1</c:v>
                </c:pt>
                <c:pt idx="7" formatCode="General">
                  <c:v>2.4</c:v>
                </c:pt>
                <c:pt idx="8" formatCode="General">
                  <c:v>4.2</c:v>
                </c:pt>
                <c:pt idx="9" formatCode="General">
                  <c:v>4.9000000000000004</c:v>
                </c:pt>
                <c:pt idx="10" formatCode="General">
                  <c:v>5.0999999999999996</c:v>
                </c:pt>
                <c:pt idx="11" formatCode="General">
                  <c:v>5.4</c:v>
                </c:pt>
                <c:pt idx="12" formatCode="General">
                  <c:v>5.4</c:v>
                </c:pt>
                <c:pt idx="13" formatCode="General">
                  <c:v>4.5999999999999996</c:v>
                </c:pt>
              </c:numCache>
            </c:numRef>
          </c:val>
          <c:smooth val="0"/>
        </c:ser>
        <c:ser>
          <c:idx val="1"/>
          <c:order val="1"/>
          <c:tx>
            <c:strRef>
              <c:f>Sheet1!$A$4</c:f>
              <c:strCache>
                <c:ptCount val="1"/>
                <c:pt idx="0">
                  <c:v>NMC</c:v>
                </c:pt>
              </c:strCache>
            </c:strRef>
          </c:tx>
          <c:marker>
            <c:symbol val="none"/>
          </c:marker>
          <c:cat>
            <c:strRef>
              <c:f>Sheet1!$B$1:$O$2</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Sheet1!$B$4:$O$4</c:f>
              <c:numCache>
                <c:formatCode>General</c:formatCode>
                <c:ptCount val="14"/>
                <c:pt idx="0">
                  <c:v>4.8</c:v>
                </c:pt>
                <c:pt idx="1">
                  <c:v>3.7</c:v>
                </c:pt>
                <c:pt idx="2">
                  <c:v>3.4</c:v>
                </c:pt>
                <c:pt idx="3">
                  <c:v>2.8</c:v>
                </c:pt>
                <c:pt idx="4">
                  <c:v>2.4</c:v>
                </c:pt>
                <c:pt idx="5">
                  <c:v>2.1</c:v>
                </c:pt>
                <c:pt idx="6">
                  <c:v>1.8</c:v>
                </c:pt>
                <c:pt idx="7">
                  <c:v>2.2000000000000002</c:v>
                </c:pt>
                <c:pt idx="8">
                  <c:v>4.4000000000000004</c:v>
                </c:pt>
                <c:pt idx="9">
                  <c:v>5.8</c:v>
                </c:pt>
                <c:pt idx="10">
                  <c:v>6.1</c:v>
                </c:pt>
                <c:pt idx="11">
                  <c:v>5.8</c:v>
                </c:pt>
                <c:pt idx="12">
                  <c:v>5.5</c:v>
                </c:pt>
                <c:pt idx="13">
                  <c:v>4.5999999999999996</c:v>
                </c:pt>
              </c:numCache>
            </c:numRef>
          </c:val>
          <c:smooth val="0"/>
        </c:ser>
        <c:ser>
          <c:idx val="2"/>
          <c:order val="2"/>
          <c:tx>
            <c:strRef>
              <c:f>Sheet1!$A$5</c:f>
              <c:strCache>
                <c:ptCount val="1"/>
                <c:pt idx="0">
                  <c:v>DDC</c:v>
                </c:pt>
              </c:strCache>
            </c:strRef>
          </c:tx>
          <c:marker>
            <c:symbol val="none"/>
          </c:marker>
          <c:cat>
            <c:strRef>
              <c:f>Sheet1!$B$1:$O$2</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Sheet1!$B$5:$O$5</c:f>
              <c:numCache>
                <c:formatCode>General</c:formatCode>
                <c:ptCount val="14"/>
                <c:pt idx="0">
                  <c:v>3.2</c:v>
                </c:pt>
                <c:pt idx="1">
                  <c:v>3</c:v>
                </c:pt>
                <c:pt idx="2">
                  <c:v>2.9</c:v>
                </c:pt>
                <c:pt idx="3">
                  <c:v>2.6</c:v>
                </c:pt>
                <c:pt idx="4">
                  <c:v>2.4</c:v>
                </c:pt>
                <c:pt idx="5">
                  <c:v>2.1</c:v>
                </c:pt>
                <c:pt idx="6">
                  <c:v>1.8</c:v>
                </c:pt>
                <c:pt idx="7">
                  <c:v>2.2999999999999998</c:v>
                </c:pt>
                <c:pt idx="8">
                  <c:v>4.0999999999999996</c:v>
                </c:pt>
                <c:pt idx="9">
                  <c:v>4.8</c:v>
                </c:pt>
                <c:pt idx="10" formatCode="0.0">
                  <c:v>5</c:v>
                </c:pt>
                <c:pt idx="11">
                  <c:v>5.4</c:v>
                </c:pt>
                <c:pt idx="12">
                  <c:v>5.3</c:v>
                </c:pt>
                <c:pt idx="13">
                  <c:v>4.5999999999999996</c:v>
                </c:pt>
              </c:numCache>
            </c:numRef>
          </c:val>
          <c:smooth val="0"/>
        </c:ser>
        <c:ser>
          <c:idx val="3"/>
          <c:order val="3"/>
          <c:tx>
            <c:strRef>
              <c:f>Sheet1!$A$6</c:f>
              <c:strCache>
                <c:ptCount val="1"/>
                <c:pt idx="0">
                  <c:v>NMD</c:v>
                </c:pt>
              </c:strCache>
            </c:strRef>
          </c:tx>
          <c:marker>
            <c:symbol val="none"/>
          </c:marker>
          <c:cat>
            <c:strRef>
              <c:f>Sheet1!$B$1:$O$2</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Sheet1!$B$6:$O$6</c:f>
              <c:numCache>
                <c:formatCode>General</c:formatCode>
                <c:ptCount val="14"/>
                <c:pt idx="0">
                  <c:v>4</c:v>
                </c:pt>
                <c:pt idx="1">
                  <c:v>3.35</c:v>
                </c:pt>
                <c:pt idx="2">
                  <c:v>3.15</c:v>
                </c:pt>
                <c:pt idx="3">
                  <c:v>2.7</c:v>
                </c:pt>
                <c:pt idx="4">
                  <c:v>2.4</c:v>
                </c:pt>
                <c:pt idx="5">
                  <c:v>2.1</c:v>
                </c:pt>
                <c:pt idx="6">
                  <c:v>1.8</c:v>
                </c:pt>
                <c:pt idx="7">
                  <c:v>2.25</c:v>
                </c:pt>
                <c:pt idx="8">
                  <c:v>4.25</c:v>
                </c:pt>
                <c:pt idx="9">
                  <c:v>5.3</c:v>
                </c:pt>
                <c:pt idx="10">
                  <c:v>5.55</c:v>
                </c:pt>
                <c:pt idx="11">
                  <c:v>5.6</c:v>
                </c:pt>
                <c:pt idx="12">
                  <c:v>5.4</c:v>
                </c:pt>
                <c:pt idx="13">
                  <c:v>4.5999999999999996</c:v>
                </c:pt>
              </c:numCache>
            </c:numRef>
          </c:val>
          <c:smooth val="0"/>
        </c:ser>
        <c:dLbls>
          <c:showLegendKey val="0"/>
          <c:showVal val="0"/>
          <c:showCatName val="0"/>
          <c:showSerName val="0"/>
          <c:showPercent val="0"/>
          <c:showBubbleSize val="0"/>
        </c:dLbls>
        <c:marker val="1"/>
        <c:smooth val="0"/>
        <c:axId val="111643648"/>
        <c:axId val="75297856"/>
      </c:lineChart>
      <c:catAx>
        <c:axId val="111643648"/>
        <c:scaling>
          <c:orientation val="minMax"/>
        </c:scaling>
        <c:delete val="0"/>
        <c:axPos val="b"/>
        <c:title>
          <c:tx>
            <c:rich>
              <a:bodyPr/>
              <a:lstStyle/>
              <a:p>
                <a:pPr>
                  <a:defRPr/>
                </a:pPr>
                <a:r>
                  <a:rPr lang="en-GB"/>
                  <a:t>Year</a:t>
                </a:r>
              </a:p>
            </c:rich>
          </c:tx>
          <c:layout/>
          <c:overlay val="0"/>
        </c:title>
        <c:majorTickMark val="out"/>
        <c:minorTickMark val="none"/>
        <c:tickLblPos val="nextTo"/>
        <c:crossAx val="75297856"/>
        <c:crosses val="autoZero"/>
        <c:auto val="1"/>
        <c:lblAlgn val="ctr"/>
        <c:lblOffset val="100"/>
        <c:noMultiLvlLbl val="0"/>
      </c:catAx>
      <c:valAx>
        <c:axId val="75297856"/>
        <c:scaling>
          <c:orientation val="minMax"/>
        </c:scaling>
        <c:delete val="0"/>
        <c:axPos val="l"/>
        <c:majorGridlines/>
        <c:title>
          <c:tx>
            <c:rich>
              <a:bodyPr rot="0" vert="horz"/>
              <a:lstStyle/>
              <a:p>
                <a:pPr>
                  <a:defRPr/>
                </a:pPr>
                <a:r>
                  <a:rPr lang="en-GB"/>
                  <a:t>Percentage</a:t>
                </a:r>
              </a:p>
            </c:rich>
          </c:tx>
          <c:layout/>
          <c:overlay val="0"/>
        </c:title>
        <c:numFmt formatCode="General" sourceLinked="1"/>
        <c:majorTickMark val="out"/>
        <c:minorTickMark val="none"/>
        <c:tickLblPos val="nextTo"/>
        <c:crossAx val="1116436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B414-69C9-469F-8926-E7CA159E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47</Pages>
  <Words>14210</Words>
  <Characters>80998</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95018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"McQuiston, Michael" &lt;Michael.McQuiston@doeni.gov.uk&gt;</dc:creator>
  <cp:lastModifiedBy>McQuiston, Michael</cp:lastModifiedBy>
  <cp:revision>7</cp:revision>
  <cp:lastPrinted>2015-10-15T11:31:00Z</cp:lastPrinted>
  <dcterms:created xsi:type="dcterms:W3CDTF">2015-10-15T11:03:00Z</dcterms:created>
  <dcterms:modified xsi:type="dcterms:W3CDTF">2017-11-21T11:18:00Z</dcterms:modified>
</cp:coreProperties>
</file>