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85" w:rsidRDefault="00B27485" w:rsidP="00B2748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District Council Policy Screening Form</w:t>
      </w:r>
    </w:p>
    <w:p w:rsidR="00B27485" w:rsidRDefault="00B27485" w:rsidP="00B27485">
      <w:pPr>
        <w:rPr>
          <w:rFonts w:cs="Arial"/>
          <w:b/>
          <w:sz w:val="32"/>
          <w:szCs w:val="32"/>
        </w:rPr>
      </w:pPr>
    </w:p>
    <w:p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5379"/>
      </w:tblGrid>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Name of the policy</w:t>
            </w:r>
          </w:p>
        </w:tc>
        <w:tc>
          <w:tcPr>
            <w:tcW w:w="5752" w:type="dxa"/>
          </w:tcPr>
          <w:p w:rsidR="00B27485" w:rsidRPr="00F552B7" w:rsidRDefault="00E92D83" w:rsidP="00E92D83">
            <w:pPr>
              <w:rPr>
                <w:rFonts w:cs="Arial"/>
                <w:bCs/>
                <w:sz w:val="22"/>
                <w:szCs w:val="22"/>
              </w:rPr>
            </w:pPr>
            <w:r w:rsidRPr="00F552B7">
              <w:rPr>
                <w:rFonts w:cs="Arial"/>
                <w:bCs/>
                <w:sz w:val="22"/>
                <w:szCs w:val="22"/>
              </w:rPr>
              <w:t>Policy for Dealing with Changed Circumstances Affecting Licensed Street Trading</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752" w:type="dxa"/>
          </w:tcPr>
          <w:p w:rsidR="00B27485" w:rsidRPr="00F552B7" w:rsidRDefault="00E92D83" w:rsidP="00E92D83">
            <w:pPr>
              <w:rPr>
                <w:rFonts w:cs="Arial"/>
                <w:bCs/>
                <w:sz w:val="22"/>
                <w:szCs w:val="22"/>
              </w:rPr>
            </w:pPr>
            <w:r w:rsidRPr="00F552B7">
              <w:rPr>
                <w:rFonts w:cs="Arial"/>
                <w:bCs/>
                <w:sz w:val="22"/>
                <w:szCs w:val="22"/>
              </w:rPr>
              <w:t>New</w:t>
            </w:r>
          </w:p>
        </w:tc>
      </w:tr>
      <w:tr w:rsidR="00B27485" w:rsidTr="00E92D83">
        <w:tc>
          <w:tcPr>
            <w:tcW w:w="4068" w:type="dxa"/>
          </w:tcPr>
          <w:p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752" w:type="dxa"/>
          </w:tcPr>
          <w:p w:rsidR="00E92D83" w:rsidRPr="00F552B7" w:rsidRDefault="00E92D83" w:rsidP="00E92D83">
            <w:pPr>
              <w:ind w:left="12"/>
              <w:rPr>
                <w:sz w:val="22"/>
                <w:szCs w:val="22"/>
                <w:lang w:eastAsia="en-US"/>
              </w:rPr>
            </w:pPr>
            <w:r w:rsidRPr="00F552B7">
              <w:rPr>
                <w:sz w:val="22"/>
                <w:szCs w:val="22"/>
                <w:lang w:eastAsia="en-US"/>
              </w:rPr>
              <w:t>The purpose of this Policy is to outline the approach to be taken by the District Council where the following circumstances arise:</w:t>
            </w:r>
          </w:p>
          <w:p w:rsidR="00E92D83" w:rsidRPr="00F552B7" w:rsidRDefault="00E92D83" w:rsidP="00E92D83">
            <w:pPr>
              <w:numPr>
                <w:ilvl w:val="0"/>
                <w:numId w:val="2"/>
              </w:numPr>
              <w:tabs>
                <w:tab w:val="clear" w:pos="1440"/>
              </w:tabs>
              <w:ind w:left="437" w:hanging="284"/>
              <w:rPr>
                <w:sz w:val="22"/>
                <w:szCs w:val="22"/>
                <w:lang w:eastAsia="en-US"/>
              </w:rPr>
            </w:pPr>
            <w:r w:rsidRPr="00F552B7">
              <w:rPr>
                <w:sz w:val="22"/>
                <w:szCs w:val="22"/>
                <w:lang w:eastAsia="en-US"/>
              </w:rPr>
              <w:t xml:space="preserve">the location of a street trading pitch on which a licence holder trades as a stationary trader has become unsuitable, or, </w:t>
            </w:r>
          </w:p>
          <w:p w:rsidR="00E92D83" w:rsidRPr="00F552B7" w:rsidRDefault="00E92D83" w:rsidP="00E92D83">
            <w:pPr>
              <w:numPr>
                <w:ilvl w:val="0"/>
                <w:numId w:val="2"/>
              </w:numPr>
              <w:tabs>
                <w:tab w:val="clear" w:pos="1440"/>
              </w:tabs>
              <w:ind w:left="437"/>
              <w:rPr>
                <w:sz w:val="22"/>
                <w:szCs w:val="22"/>
                <w:lang w:eastAsia="en-US"/>
              </w:rPr>
            </w:pPr>
            <w:r w:rsidRPr="00F552B7">
              <w:rPr>
                <w:sz w:val="22"/>
                <w:szCs w:val="22"/>
                <w:lang w:eastAsia="en-US"/>
              </w:rPr>
              <w:t>the space in the street has become inadequate to permit trading by a stationary trader without causing undue interference or inconvenience to persons or vehicles.</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752" w:type="dxa"/>
          </w:tcPr>
          <w:p w:rsidR="00B27485" w:rsidRPr="00F552B7" w:rsidRDefault="00E92D83" w:rsidP="00E92D83">
            <w:pPr>
              <w:rPr>
                <w:rFonts w:cs="Arial"/>
                <w:bCs/>
                <w:sz w:val="22"/>
                <w:szCs w:val="22"/>
              </w:rPr>
            </w:pPr>
            <w:r w:rsidRPr="00F552B7">
              <w:rPr>
                <w:rFonts w:cs="Arial"/>
                <w:bCs/>
                <w:sz w:val="22"/>
                <w:szCs w:val="22"/>
              </w:rPr>
              <w:t>No</w:t>
            </w: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If so, explain how. </w:t>
            </w:r>
          </w:p>
        </w:tc>
        <w:tc>
          <w:tcPr>
            <w:tcW w:w="5752" w:type="dxa"/>
          </w:tcPr>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 xml:space="preserve">Who initiated or wrote the policy? </w:t>
            </w:r>
          </w:p>
        </w:tc>
        <w:tc>
          <w:tcPr>
            <w:tcW w:w="5752" w:type="dxa"/>
          </w:tcPr>
          <w:p w:rsidR="00E92D83" w:rsidRPr="00F552B7" w:rsidRDefault="00E92D83" w:rsidP="00E92D83">
            <w:pPr>
              <w:ind w:left="253"/>
              <w:rPr>
                <w:rFonts w:cs="Arial"/>
                <w:sz w:val="22"/>
                <w:szCs w:val="22"/>
                <w:lang w:eastAsia="en-US"/>
              </w:rPr>
            </w:pPr>
            <w:r w:rsidRPr="00F552B7">
              <w:rPr>
                <w:rFonts w:cs="Arial"/>
                <w:sz w:val="22"/>
                <w:szCs w:val="22"/>
                <w:lang w:eastAsia="en-US"/>
              </w:rPr>
              <w:t>Head of Service for the Regulatory and Technical Services Section</w:t>
            </w:r>
          </w:p>
          <w:p w:rsidR="00B27485" w:rsidRPr="00F552B7" w:rsidRDefault="00B27485" w:rsidP="00E92D83">
            <w:pPr>
              <w:rPr>
                <w:rFonts w:cs="Arial"/>
                <w:bCs/>
                <w:sz w:val="22"/>
                <w:szCs w:val="22"/>
              </w:rPr>
            </w:pPr>
          </w:p>
        </w:tc>
      </w:tr>
      <w:tr w:rsidR="00B27485" w:rsidTr="00E92D83">
        <w:tc>
          <w:tcPr>
            <w:tcW w:w="4068" w:type="dxa"/>
          </w:tcPr>
          <w:p w:rsidR="00B27485" w:rsidRPr="00F552B7" w:rsidRDefault="00B27485" w:rsidP="00E92D83">
            <w:pPr>
              <w:rPr>
                <w:rFonts w:cs="Arial"/>
                <w:sz w:val="22"/>
                <w:szCs w:val="22"/>
              </w:rPr>
            </w:pPr>
            <w:r w:rsidRPr="00F552B7">
              <w:rPr>
                <w:rFonts w:cs="Arial"/>
                <w:sz w:val="22"/>
                <w:szCs w:val="22"/>
              </w:rPr>
              <w:t>Who owns and who implements the policy?</w:t>
            </w:r>
          </w:p>
        </w:tc>
        <w:tc>
          <w:tcPr>
            <w:tcW w:w="5752" w:type="dxa"/>
          </w:tcPr>
          <w:p w:rsidR="00B27485" w:rsidRPr="00F552B7" w:rsidRDefault="00E92D83" w:rsidP="00F552B7">
            <w:pPr>
              <w:ind w:left="253"/>
              <w:rPr>
                <w:rFonts w:cs="Arial"/>
                <w:sz w:val="22"/>
                <w:szCs w:val="22"/>
                <w:lang w:eastAsia="en-US"/>
              </w:rPr>
            </w:pPr>
            <w:r w:rsidRPr="00F552B7">
              <w:rPr>
                <w:rFonts w:cs="Arial"/>
                <w:sz w:val="22"/>
                <w:szCs w:val="22"/>
                <w:lang w:eastAsia="en-US"/>
              </w:rPr>
              <w:t>Head of Service for the Regulatory and Technical Services Sec</w:t>
            </w:r>
            <w:r w:rsidR="00F552B7">
              <w:rPr>
                <w:rFonts w:cs="Arial"/>
                <w:sz w:val="22"/>
                <w:szCs w:val="22"/>
                <w:lang w:eastAsia="en-US"/>
              </w:rPr>
              <w:t>tion</w:t>
            </w:r>
          </w:p>
        </w:tc>
      </w:tr>
    </w:tbl>
    <w:p w:rsidR="00B27485" w:rsidRDefault="00B27485" w:rsidP="00B27485">
      <w:pPr>
        <w:rPr>
          <w:rFonts w:cs="Arial"/>
          <w:bCs/>
          <w:sz w:val="24"/>
          <w:szCs w:val="24"/>
        </w:rPr>
      </w:pPr>
    </w:p>
    <w:p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rsidTr="00E92D83">
        <w:tc>
          <w:tcPr>
            <w:tcW w:w="6228" w:type="dxa"/>
          </w:tcPr>
          <w:p w:rsidR="00B27485" w:rsidRDefault="00B27485" w:rsidP="00E92D83">
            <w:pPr>
              <w:rPr>
                <w:rFonts w:cs="Arial"/>
                <w:sz w:val="24"/>
                <w:szCs w:val="24"/>
              </w:rPr>
            </w:pPr>
          </w:p>
        </w:tc>
        <w:tc>
          <w:tcPr>
            <w:tcW w:w="1800" w:type="dxa"/>
          </w:tcPr>
          <w:p w:rsidR="00B27485" w:rsidRDefault="00B27485" w:rsidP="00E92D83">
            <w:pPr>
              <w:jc w:val="center"/>
              <w:rPr>
                <w:rFonts w:cs="Arial"/>
                <w:sz w:val="24"/>
                <w:szCs w:val="24"/>
              </w:rPr>
            </w:pPr>
            <w:r>
              <w:rPr>
                <w:rFonts w:cs="Arial"/>
                <w:sz w:val="24"/>
                <w:szCs w:val="24"/>
              </w:rPr>
              <w:t>Yes</w:t>
            </w:r>
          </w:p>
        </w:tc>
        <w:tc>
          <w:tcPr>
            <w:tcW w:w="1800" w:type="dxa"/>
          </w:tcPr>
          <w:p w:rsidR="00B27485" w:rsidRDefault="00B27485" w:rsidP="00E92D83">
            <w:pPr>
              <w:jc w:val="center"/>
              <w:rPr>
                <w:rFonts w:cs="Arial"/>
                <w:sz w:val="24"/>
                <w:szCs w:val="24"/>
              </w:rPr>
            </w:pPr>
            <w:r>
              <w:rPr>
                <w:rFonts w:cs="Arial"/>
                <w:sz w:val="24"/>
                <w:szCs w:val="24"/>
              </w:rPr>
              <w:t>No</w:t>
            </w: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pStyle w:val="ListParagraph"/>
              <w:numPr>
                <w:ilvl w:val="0"/>
                <w:numId w:val="3"/>
              </w:numPr>
              <w:rPr>
                <w:rFonts w:cs="Arial"/>
                <w:b/>
                <w:sz w:val="22"/>
                <w:szCs w:val="22"/>
              </w:rPr>
            </w:pPr>
          </w:p>
        </w:tc>
      </w:tr>
      <w:tr w:rsidR="00B27485" w:rsidTr="00E92D83">
        <w:tc>
          <w:tcPr>
            <w:tcW w:w="6228" w:type="dxa"/>
          </w:tcPr>
          <w:p w:rsidR="00B27485" w:rsidRPr="00F552B7" w:rsidRDefault="00F552B7" w:rsidP="00E92D83">
            <w:pPr>
              <w:rPr>
                <w:rFonts w:cs="Arial"/>
                <w:sz w:val="22"/>
                <w:szCs w:val="22"/>
              </w:rPr>
            </w:pPr>
            <w:r>
              <w:rPr>
                <w:rFonts w:cs="Arial"/>
                <w:sz w:val="22"/>
                <w:szCs w:val="22"/>
              </w:rPr>
              <w:t>If yes, are they Financial</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r w:rsidR="00B27485" w:rsidTr="00E92D83">
        <w:tc>
          <w:tcPr>
            <w:tcW w:w="6228" w:type="dxa"/>
          </w:tcPr>
          <w:p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rsidR="00B27485" w:rsidRPr="00F552B7" w:rsidRDefault="00B27485" w:rsidP="00E92D83">
            <w:pPr>
              <w:rPr>
                <w:rFonts w:cs="Arial"/>
                <w:b/>
                <w:sz w:val="22"/>
                <w:szCs w:val="22"/>
              </w:rPr>
            </w:pPr>
          </w:p>
        </w:tc>
        <w:tc>
          <w:tcPr>
            <w:tcW w:w="1800" w:type="dxa"/>
          </w:tcPr>
          <w:p w:rsidR="00B27485" w:rsidRPr="00F552B7" w:rsidRDefault="00B27485" w:rsidP="00E92D83">
            <w:pPr>
              <w:rPr>
                <w:rFonts w:cs="Arial"/>
                <w:b/>
                <w:sz w:val="22"/>
                <w:szCs w:val="22"/>
              </w:rPr>
            </w:pPr>
          </w:p>
        </w:tc>
      </w:tr>
    </w:tbl>
    <w:p w:rsidR="00B27485" w:rsidRDefault="00B27485" w:rsidP="00B27485">
      <w:pPr>
        <w:rPr>
          <w:rFonts w:ascii="Tahoma" w:hAnsi="Tahoma" w:cs="Tahoma"/>
          <w:b/>
          <w:sz w:val="24"/>
          <w:szCs w:val="24"/>
        </w:rPr>
      </w:pPr>
    </w:p>
    <w:p w:rsidR="00B27485" w:rsidRDefault="00B27485" w:rsidP="00B27485">
      <w:pPr>
        <w:rPr>
          <w:rFonts w:cs="Arial"/>
          <w:b/>
        </w:rPr>
      </w:pPr>
      <w:r>
        <w:rPr>
          <w:rFonts w:cs="Arial"/>
          <w:b/>
        </w:rPr>
        <w:t>Main stakeholders affected</w:t>
      </w:r>
    </w:p>
    <w:p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010"/>
        <w:gridCol w:w="3002"/>
      </w:tblGrid>
      <w:tr w:rsidR="00B27485" w:rsidTr="00E92D83">
        <w:tc>
          <w:tcPr>
            <w:tcW w:w="3273" w:type="dxa"/>
          </w:tcPr>
          <w:p w:rsidR="00B27485" w:rsidRPr="00F552B7" w:rsidRDefault="00B27485" w:rsidP="00E92D83">
            <w:pPr>
              <w:spacing w:before="120"/>
              <w:rPr>
                <w:rFonts w:cs="Arial"/>
                <w:sz w:val="22"/>
                <w:szCs w:val="22"/>
              </w:rPr>
            </w:pPr>
          </w:p>
        </w:tc>
        <w:tc>
          <w:tcPr>
            <w:tcW w:w="3273" w:type="dxa"/>
          </w:tcPr>
          <w:p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rsidR="00B27485" w:rsidRPr="00F552B7" w:rsidRDefault="00B27485" w:rsidP="00E92D83">
            <w:pPr>
              <w:spacing w:before="120"/>
              <w:jc w:val="center"/>
              <w:rPr>
                <w:rFonts w:cs="Arial"/>
                <w:sz w:val="22"/>
                <w:szCs w:val="22"/>
              </w:rPr>
            </w:pPr>
            <w:r w:rsidRPr="00F552B7">
              <w:rPr>
                <w:rFonts w:cs="Arial"/>
                <w:sz w:val="22"/>
                <w:szCs w:val="22"/>
              </w:rPr>
              <w:t>No</w:t>
            </w: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rsidR="00B27485" w:rsidRPr="00F552B7" w:rsidRDefault="00B27485" w:rsidP="00E92D83">
            <w:pPr>
              <w:pStyle w:val="ListParagraph"/>
              <w:numPr>
                <w:ilvl w:val="0"/>
                <w:numId w:val="3"/>
              </w:num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pStyle w:val="ListParagraph"/>
              <w:numPr>
                <w:ilvl w:val="0"/>
                <w:numId w:val="3"/>
              </w:numPr>
              <w:spacing w:before="120"/>
              <w:rPr>
                <w:rFonts w:cs="Arial"/>
                <w:sz w:val="22"/>
                <w:szCs w:val="22"/>
              </w:rPr>
            </w:pPr>
          </w:p>
        </w:tc>
      </w:tr>
      <w:tr w:rsidR="00B27485" w:rsidTr="00E92D83">
        <w:tc>
          <w:tcPr>
            <w:tcW w:w="3273" w:type="dxa"/>
          </w:tcPr>
          <w:p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rsidR="00B27485" w:rsidRPr="00F552B7" w:rsidRDefault="00B27485" w:rsidP="00E92D83">
            <w:pPr>
              <w:spacing w:before="120"/>
              <w:rPr>
                <w:rFonts w:cs="Arial"/>
                <w:sz w:val="22"/>
                <w:szCs w:val="22"/>
              </w:rPr>
            </w:pPr>
          </w:p>
        </w:tc>
        <w:tc>
          <w:tcPr>
            <w:tcW w:w="3274" w:type="dxa"/>
          </w:tcPr>
          <w:p w:rsidR="00B27485" w:rsidRPr="00F552B7" w:rsidRDefault="00B27485" w:rsidP="00E92D83">
            <w:pPr>
              <w:spacing w:before="120"/>
              <w:rPr>
                <w:rFonts w:cs="Arial"/>
                <w:sz w:val="22"/>
                <w:szCs w:val="22"/>
              </w:rPr>
            </w:pPr>
          </w:p>
        </w:tc>
      </w:tr>
    </w:tbl>
    <w:p w:rsidR="00B27485" w:rsidRDefault="00617122"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rsidR="00B27485" w:rsidRPr="00F552B7" w:rsidRDefault="00B27485" w:rsidP="00E92D83">
            <w:pPr>
              <w:rPr>
                <w:rFonts w:cs="Arial"/>
                <w:sz w:val="22"/>
                <w:szCs w:val="22"/>
                <w:lang w:val="en-US"/>
              </w:rPr>
            </w:pPr>
          </w:p>
        </w:tc>
      </w:tr>
      <w:tr w:rsidR="00B27485" w:rsidTr="00E92D83">
        <w:tc>
          <w:tcPr>
            <w:tcW w:w="3168" w:type="dxa"/>
          </w:tcPr>
          <w:p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rsidR="00E92D83"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Street Trading Act (Northern Ireland) 2001.</w:t>
            </w:r>
          </w:p>
          <w:p w:rsidR="00B27485" w:rsidRPr="00F552B7" w:rsidRDefault="00E92D83" w:rsidP="00E92D83">
            <w:pPr>
              <w:numPr>
                <w:ilvl w:val="0"/>
                <w:numId w:val="4"/>
              </w:numPr>
              <w:tabs>
                <w:tab w:val="clear" w:pos="1440"/>
                <w:tab w:val="num" w:pos="518"/>
              </w:tabs>
              <w:ind w:left="660"/>
              <w:rPr>
                <w:sz w:val="22"/>
                <w:szCs w:val="22"/>
                <w:lang w:eastAsia="en-US"/>
              </w:rPr>
            </w:pPr>
            <w:r w:rsidRPr="00F552B7">
              <w:rPr>
                <w:sz w:val="22"/>
                <w:szCs w:val="22"/>
                <w:lang w:eastAsia="en-US"/>
              </w:rPr>
              <w:t>Guide to the Street Trading Act (Northern Ireland) 2001.</w:t>
            </w:r>
          </w:p>
        </w:tc>
      </w:tr>
    </w:tbl>
    <w:p w:rsidR="00B27485" w:rsidRDefault="00B27485" w:rsidP="00B27485">
      <w:pPr>
        <w:autoSpaceDE w:val="0"/>
        <w:autoSpaceDN w:val="0"/>
        <w:adjustRightInd w:val="0"/>
        <w:rPr>
          <w:rFonts w:cs="Arial"/>
          <w:b/>
        </w:rPr>
      </w:pPr>
      <w:r>
        <w:rPr>
          <w:rFonts w:cs="Arial"/>
          <w:b/>
        </w:rPr>
        <w:t xml:space="preserve">Available evidence </w:t>
      </w:r>
    </w:p>
    <w:p w:rsidR="00B27485" w:rsidRDefault="00B27485" w:rsidP="00B27485">
      <w:pPr>
        <w:autoSpaceDE w:val="0"/>
        <w:autoSpaceDN w:val="0"/>
        <w:adjustRightInd w:val="0"/>
        <w:rPr>
          <w:rFonts w:cs="Arial"/>
          <w:b/>
          <w:szCs w:val="24"/>
        </w:rPr>
      </w:pPr>
    </w:p>
    <w:p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8"/>
        <w:gridCol w:w="4684"/>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Default="00B27485" w:rsidP="00E92D83">
            <w:pPr>
              <w:autoSpaceDE w:val="0"/>
              <w:autoSpaceDN w:val="0"/>
              <w:adjustRightInd w:val="0"/>
              <w:rPr>
                <w:rFonts w:cs="Arial"/>
                <w:b/>
                <w:sz w:val="24"/>
                <w:szCs w:val="24"/>
              </w:rPr>
            </w:pPr>
          </w:p>
        </w:tc>
        <w:tc>
          <w:tcPr>
            <w:tcW w:w="4910" w:type="dxa"/>
          </w:tcPr>
          <w:p w:rsidR="00B27485" w:rsidRPr="00F552B7" w:rsidRDefault="00F552B7" w:rsidP="00E92D83">
            <w:pPr>
              <w:autoSpaceDE w:val="0"/>
              <w:autoSpaceDN w:val="0"/>
              <w:adjustRightInd w:val="0"/>
              <w:rPr>
                <w:rFonts w:cs="Arial"/>
                <w:sz w:val="22"/>
                <w:szCs w:val="22"/>
              </w:rPr>
            </w:pPr>
            <w:r w:rsidRPr="00F552B7">
              <w:rPr>
                <w:rFonts w:cs="Arial"/>
                <w:sz w:val="22"/>
                <w:szCs w:val="22"/>
              </w:rPr>
              <w:t>Circumstances may arise which render the street trading pitch unsuitable or the space on the street inadequate for the trading permitted by a licence to continue.</w:t>
            </w:r>
          </w:p>
          <w:p w:rsidR="00F552B7" w:rsidRDefault="00F552B7" w:rsidP="00E92D83">
            <w:pPr>
              <w:autoSpaceDE w:val="0"/>
              <w:autoSpaceDN w:val="0"/>
              <w:adjustRightInd w:val="0"/>
              <w:rPr>
                <w:rFonts w:cs="Arial"/>
                <w:sz w:val="22"/>
                <w:szCs w:val="22"/>
              </w:rPr>
            </w:pPr>
            <w:r w:rsidRPr="00F552B7">
              <w:rPr>
                <w:rFonts w:cs="Arial"/>
                <w:sz w:val="22"/>
                <w:szCs w:val="22"/>
              </w:rPr>
              <w:t>Examples of such circumstances may include:</w:t>
            </w:r>
          </w:p>
          <w:p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Construction works or hoardings</w:t>
            </w:r>
          </w:p>
          <w:p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Road works</w:t>
            </w:r>
          </w:p>
          <w:p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Changes in vehicle traffic volumes</w:t>
            </w:r>
          </w:p>
          <w:p w:rsid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Installation of new street furniture</w:t>
            </w:r>
          </w:p>
          <w:p w:rsidR="00F552B7" w:rsidRPr="00F552B7" w:rsidRDefault="00F552B7" w:rsidP="00F552B7">
            <w:pPr>
              <w:pStyle w:val="ListParagraph"/>
              <w:numPr>
                <w:ilvl w:val="0"/>
                <w:numId w:val="5"/>
              </w:numPr>
              <w:autoSpaceDE w:val="0"/>
              <w:autoSpaceDN w:val="0"/>
              <w:adjustRightInd w:val="0"/>
              <w:rPr>
                <w:rFonts w:cs="Arial"/>
                <w:sz w:val="22"/>
                <w:szCs w:val="22"/>
              </w:rPr>
            </w:pPr>
            <w:r>
              <w:rPr>
                <w:rFonts w:cs="Arial"/>
                <w:sz w:val="22"/>
                <w:szCs w:val="22"/>
              </w:rPr>
              <w:t>New buildings</w:t>
            </w:r>
          </w:p>
          <w:p w:rsidR="00F552B7" w:rsidRPr="00F552B7" w:rsidRDefault="00F552B7" w:rsidP="00E92D83">
            <w:pPr>
              <w:autoSpaceDE w:val="0"/>
              <w:autoSpaceDN w:val="0"/>
              <w:adjustRightInd w:val="0"/>
              <w:rPr>
                <w:rFonts w:cs="Arial"/>
                <w:sz w:val="24"/>
                <w:szCs w:val="24"/>
              </w:rPr>
            </w:pPr>
          </w:p>
        </w:tc>
      </w:tr>
    </w:tbl>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b/>
        </w:rPr>
      </w:pPr>
      <w:r>
        <w:rPr>
          <w:rFonts w:cs="Arial"/>
          <w:b/>
        </w:rPr>
        <w:t>Needs, experiences and priorities</w:t>
      </w:r>
    </w:p>
    <w:p w:rsidR="00B27485" w:rsidRDefault="00B27485" w:rsidP="00B27485">
      <w:pPr>
        <w:autoSpaceDE w:val="0"/>
        <w:autoSpaceDN w:val="0"/>
        <w:adjustRightInd w:val="0"/>
        <w:rPr>
          <w:rFonts w:cs="Arial"/>
          <w:sz w:val="24"/>
          <w:szCs w:val="24"/>
        </w:rPr>
      </w:pPr>
      <w:r>
        <w:rPr>
          <w:rFonts w:cs="Arial"/>
          <w:sz w:val="24"/>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37"/>
      </w:tblGrid>
      <w:tr w:rsidR="00B27485" w:rsidTr="00E92D83">
        <w:tc>
          <w:tcPr>
            <w:tcW w:w="4910" w:type="dxa"/>
          </w:tcPr>
          <w:p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rsidTr="00E92D83">
        <w:tc>
          <w:tcPr>
            <w:tcW w:w="4910" w:type="dxa"/>
          </w:tcPr>
          <w:p w:rsidR="00B27485" w:rsidRPr="00F552B7" w:rsidRDefault="00B27485" w:rsidP="00E92D83">
            <w:pPr>
              <w:autoSpaceDE w:val="0"/>
              <w:autoSpaceDN w:val="0"/>
              <w:adjustRightInd w:val="0"/>
              <w:rPr>
                <w:rFonts w:cs="Arial"/>
                <w:b/>
                <w:sz w:val="22"/>
                <w:szCs w:val="22"/>
              </w:rPr>
            </w:pPr>
          </w:p>
        </w:tc>
        <w:tc>
          <w:tcPr>
            <w:tcW w:w="4910" w:type="dxa"/>
          </w:tcPr>
          <w:p w:rsidR="00B27485" w:rsidRPr="00F552B7" w:rsidRDefault="00B27485" w:rsidP="00E92D83">
            <w:pPr>
              <w:autoSpaceDE w:val="0"/>
              <w:autoSpaceDN w:val="0"/>
              <w:adjustRightInd w:val="0"/>
              <w:rPr>
                <w:rFonts w:cs="Arial"/>
                <w:b/>
                <w:sz w:val="22"/>
                <w:szCs w:val="22"/>
              </w:rPr>
            </w:pPr>
          </w:p>
        </w:tc>
      </w:tr>
    </w:tbl>
    <w:p w:rsidR="00B27485" w:rsidRDefault="00B27485" w:rsidP="00B27485">
      <w:pPr>
        <w:autoSpaceDE w:val="0"/>
        <w:autoSpaceDN w:val="0"/>
        <w:adjustRightInd w:val="0"/>
        <w:rPr>
          <w:rFonts w:cs="Arial"/>
          <w:szCs w:val="24"/>
        </w:rPr>
      </w:pPr>
    </w:p>
    <w:p w:rsidR="00B27485" w:rsidRDefault="00B27485" w:rsidP="00B27485">
      <w:pPr>
        <w:autoSpaceDE w:val="0"/>
        <w:autoSpaceDN w:val="0"/>
        <w:adjustRightInd w:val="0"/>
        <w:rPr>
          <w:rFonts w:cs="Arial"/>
          <w:b/>
        </w:rPr>
      </w:pPr>
      <w:r>
        <w:rPr>
          <w:rFonts w:cs="Arial"/>
          <w:b/>
        </w:rPr>
        <w:t>Screening Questions</w:t>
      </w:r>
    </w:p>
    <w:p w:rsidR="00B27485" w:rsidRDefault="00B27485" w:rsidP="00B27485">
      <w:pPr>
        <w:autoSpaceDE w:val="0"/>
        <w:autoSpaceDN w:val="0"/>
        <w:adjustRightInd w:val="0"/>
        <w:rPr>
          <w:rFonts w:cs="Arial"/>
        </w:rPr>
      </w:pPr>
    </w:p>
    <w:p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E92D83" w:rsidRPr="00F552B7" w:rsidRDefault="00E92D83" w:rsidP="00E92D83">
            <w:pPr>
              <w:pStyle w:val="ListParagraph"/>
              <w:numPr>
                <w:ilvl w:val="0"/>
                <w:numId w:val="3"/>
              </w:numPr>
              <w:rPr>
                <w:rFonts w:cs="Arial"/>
                <w:b/>
                <w:sz w:val="22"/>
                <w:szCs w:val="22"/>
              </w:rPr>
            </w:pPr>
          </w:p>
          <w:p w:rsidR="00B27485" w:rsidRPr="00F552B7" w:rsidRDefault="00E92D83" w:rsidP="00E92D83">
            <w:pPr>
              <w:pStyle w:val="ListParagraph"/>
              <w:ind w:left="86"/>
              <w:rPr>
                <w:rFonts w:cs="Arial"/>
                <w:b/>
                <w:sz w:val="22"/>
                <w:szCs w:val="22"/>
              </w:rPr>
            </w:pPr>
            <w:r w:rsidRPr="00F552B7">
              <w:rPr>
                <w:sz w:val="22"/>
                <w:szCs w:val="22"/>
              </w:rPr>
              <w:t>*The Policy covers circumstances of a temporary nature for example where the unsuitability or lack of space is caused by ongoing construction works or similar</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lastRenderedPageBreak/>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cs="Arial"/>
          <w:sz w:val="24"/>
          <w:szCs w:val="24"/>
        </w:rPr>
      </w:pPr>
    </w:p>
    <w:p w:rsidR="00B27485" w:rsidRDefault="00B27485" w:rsidP="00B27485">
      <w:pPr>
        <w:rPr>
          <w:rFonts w:cs="Arial"/>
          <w:szCs w:val="24"/>
        </w:rPr>
      </w:pPr>
      <w:r>
        <w:rPr>
          <w:rFonts w:cs="Arial"/>
          <w:sz w:val="24"/>
          <w:szCs w:val="24"/>
        </w:rPr>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3274"/>
      </w:tblGrid>
      <w:tr w:rsidR="00B27485" w:rsidTr="00E92D83">
        <w:tc>
          <w:tcPr>
            <w:tcW w:w="2808" w:type="dxa"/>
          </w:tcPr>
          <w:p w:rsidR="00B27485" w:rsidRDefault="00B27485" w:rsidP="00E92D83">
            <w:pPr>
              <w:rPr>
                <w:rFonts w:cs="Arial"/>
                <w:b/>
                <w:sz w:val="24"/>
                <w:szCs w:val="24"/>
              </w:rPr>
            </w:pPr>
            <w:r>
              <w:rPr>
                <w:rFonts w:cs="Arial"/>
                <w:b/>
                <w:sz w:val="24"/>
                <w:szCs w:val="24"/>
              </w:rPr>
              <w:t>Section 75 category</w:t>
            </w:r>
          </w:p>
        </w:tc>
        <w:tc>
          <w:tcPr>
            <w:tcW w:w="3060"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Religious belief</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Political opinion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Racial group</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Age</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Marital status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Sexual orientation</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Disability</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rsidTr="00E92D83">
        <w:tc>
          <w:tcPr>
            <w:tcW w:w="2808" w:type="dxa"/>
          </w:tcPr>
          <w:p w:rsidR="00B27485" w:rsidRPr="00F552B7" w:rsidRDefault="00B27485" w:rsidP="00E92D83">
            <w:pPr>
              <w:rPr>
                <w:rFonts w:cs="Arial"/>
                <w:b/>
                <w:sz w:val="22"/>
                <w:szCs w:val="22"/>
              </w:rPr>
            </w:pPr>
            <w:r w:rsidRPr="00F552B7">
              <w:rPr>
                <w:rFonts w:cs="Arial"/>
                <w:sz w:val="22"/>
                <w:szCs w:val="22"/>
              </w:rPr>
              <w:t>Dependants</w:t>
            </w:r>
          </w:p>
        </w:tc>
        <w:tc>
          <w:tcPr>
            <w:tcW w:w="3060" w:type="dxa"/>
          </w:tcPr>
          <w:p w:rsidR="00B27485" w:rsidRPr="00F552B7" w:rsidRDefault="00B27485" w:rsidP="00E92D83">
            <w:pPr>
              <w:rPr>
                <w:rFonts w:cs="Arial"/>
                <w:b/>
                <w:sz w:val="22"/>
                <w:szCs w:val="22"/>
              </w:rPr>
            </w:pPr>
          </w:p>
        </w:tc>
        <w:tc>
          <w:tcPr>
            <w:tcW w:w="3274" w:type="dxa"/>
          </w:tcPr>
          <w:p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rsidR="00B27485" w:rsidRDefault="00B27485" w:rsidP="00B27485">
      <w:pPr>
        <w:rPr>
          <w:rFonts w:ascii="Tahoma" w:hAnsi="Tahoma" w:cs="Tahoma"/>
          <w:szCs w:val="24"/>
        </w:rPr>
      </w:pPr>
    </w:p>
    <w:p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Pr>
        <w:rPr>
          <w:sz w:val="24"/>
          <w:szCs w:val="24"/>
        </w:rPr>
      </w:pPr>
    </w:p>
    <w:p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100"/>
      </w:tblGrid>
      <w:tr w:rsidR="00B27485" w:rsidTr="00E92D83">
        <w:tc>
          <w:tcPr>
            <w:tcW w:w="3273" w:type="dxa"/>
          </w:tcPr>
          <w:p w:rsidR="00B27485" w:rsidRDefault="00B27485" w:rsidP="00E92D83">
            <w:pPr>
              <w:rPr>
                <w:rFonts w:cs="Arial"/>
                <w:sz w:val="24"/>
                <w:szCs w:val="24"/>
              </w:rPr>
            </w:pPr>
            <w:r>
              <w:rPr>
                <w:rFonts w:cs="Arial"/>
                <w:sz w:val="24"/>
                <w:szCs w:val="24"/>
              </w:rPr>
              <w:t>Good relations category</w:t>
            </w:r>
          </w:p>
        </w:tc>
        <w:tc>
          <w:tcPr>
            <w:tcW w:w="3273" w:type="dxa"/>
          </w:tcPr>
          <w:p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Religious belief</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Political opinion</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rsidTr="00E92D83">
        <w:tc>
          <w:tcPr>
            <w:tcW w:w="3273" w:type="dxa"/>
          </w:tcPr>
          <w:p w:rsidR="00B27485" w:rsidRPr="00F552B7" w:rsidRDefault="00B27485" w:rsidP="00E92D83">
            <w:pPr>
              <w:rPr>
                <w:rFonts w:cs="Arial"/>
                <w:sz w:val="22"/>
                <w:szCs w:val="22"/>
              </w:rPr>
            </w:pPr>
            <w:r w:rsidRPr="00F552B7">
              <w:rPr>
                <w:rFonts w:cs="Arial"/>
                <w:sz w:val="22"/>
                <w:szCs w:val="22"/>
              </w:rPr>
              <w:t>Racial group</w:t>
            </w:r>
          </w:p>
        </w:tc>
        <w:tc>
          <w:tcPr>
            <w:tcW w:w="3273" w:type="dxa"/>
          </w:tcPr>
          <w:p w:rsidR="00B27485" w:rsidRPr="00F552B7" w:rsidRDefault="00B27485" w:rsidP="00E92D83">
            <w:pPr>
              <w:rPr>
                <w:rFonts w:cs="Arial"/>
                <w:sz w:val="22"/>
                <w:szCs w:val="22"/>
              </w:rPr>
            </w:pPr>
          </w:p>
        </w:tc>
        <w:tc>
          <w:tcPr>
            <w:tcW w:w="3274" w:type="dxa"/>
          </w:tcPr>
          <w:p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rsidR="00B27485" w:rsidRDefault="00B27485" w:rsidP="00B27485"/>
    <w:p w:rsidR="00B27485" w:rsidRDefault="00B27485" w:rsidP="00B27485">
      <w:pPr>
        <w:rPr>
          <w:rFonts w:cs="Arial"/>
          <w:b/>
        </w:rPr>
      </w:pPr>
      <w:r>
        <w:rPr>
          <w:rFonts w:cs="Arial"/>
          <w:b/>
        </w:rPr>
        <w:t>Additional considerations</w:t>
      </w:r>
    </w:p>
    <w:p w:rsidR="00B27485" w:rsidRDefault="00B27485" w:rsidP="00B27485">
      <w:pPr>
        <w:rPr>
          <w:rFonts w:cs="Arial"/>
          <w:sz w:val="24"/>
          <w:szCs w:val="24"/>
        </w:rPr>
      </w:pPr>
    </w:p>
    <w:p w:rsidR="00B27485" w:rsidRDefault="00B27485" w:rsidP="00B27485">
      <w:pPr>
        <w:rPr>
          <w:rFonts w:cs="Arial"/>
          <w:b/>
          <w:szCs w:val="24"/>
        </w:rPr>
      </w:pPr>
      <w:r>
        <w:rPr>
          <w:rFonts w:cs="Arial"/>
          <w:b/>
          <w:szCs w:val="24"/>
        </w:rPr>
        <w:t>Multiple identity</w:t>
      </w:r>
    </w:p>
    <w:p w:rsidR="00B27485" w:rsidRDefault="00B27485" w:rsidP="00B27485">
      <w:pPr>
        <w:autoSpaceDE w:val="0"/>
        <w:autoSpaceDN w:val="0"/>
        <w:adjustRightInd w:val="0"/>
        <w:rPr>
          <w:rFonts w:cs="Arial"/>
          <w:sz w:val="24"/>
          <w:szCs w:val="24"/>
        </w:rPr>
      </w:pPr>
      <w:r>
        <w:rPr>
          <w:rFonts w:cs="Arial"/>
          <w:sz w:val="24"/>
          <w:szCs w:val="24"/>
        </w:rPr>
        <w:t>Generally speaking, people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rsidR="00B27485" w:rsidRDefault="00B27485" w:rsidP="00B27485">
      <w:pPr>
        <w:autoSpaceDE w:val="0"/>
        <w:autoSpaceDN w:val="0"/>
        <w:adjustRightInd w:val="0"/>
        <w:rPr>
          <w:rFonts w:cs="Arial"/>
          <w:sz w:val="24"/>
          <w:szCs w:val="24"/>
        </w:rPr>
      </w:pPr>
    </w:p>
    <w:p w:rsidR="00F552B7" w:rsidRDefault="00F552B7" w:rsidP="00B27485">
      <w:pPr>
        <w:autoSpaceDE w:val="0"/>
        <w:autoSpaceDN w:val="0"/>
        <w:adjustRightInd w:val="0"/>
        <w:rPr>
          <w:rFonts w:cs="Arial"/>
          <w:sz w:val="24"/>
          <w:szCs w:val="24"/>
        </w:rPr>
      </w:pPr>
      <w:r>
        <w:rPr>
          <w:rFonts w:cs="Arial"/>
          <w:sz w:val="24"/>
          <w:szCs w:val="24"/>
        </w:rPr>
        <w:t>None</w:t>
      </w:r>
    </w:p>
    <w:p w:rsidR="00F552B7" w:rsidRDefault="00F552B7"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rsidR="00B27485" w:rsidRDefault="00B27485" w:rsidP="00B27485">
      <w:pPr>
        <w:autoSpaceDE w:val="0"/>
        <w:autoSpaceDN w:val="0"/>
        <w:adjustRightInd w:val="0"/>
        <w:rPr>
          <w:rFonts w:cs="Arial"/>
          <w:b/>
        </w:rPr>
      </w:pPr>
    </w:p>
    <w:p w:rsidR="00B27485" w:rsidRDefault="00B27485" w:rsidP="00B27485">
      <w:pPr>
        <w:autoSpaceDE w:val="0"/>
        <w:autoSpaceDN w:val="0"/>
        <w:adjustRightInd w:val="0"/>
        <w:rPr>
          <w:rFonts w:cs="Arial"/>
        </w:rPr>
      </w:pPr>
      <w:r>
        <w:rPr>
          <w:rFonts w:cs="Arial"/>
          <w:b/>
        </w:rPr>
        <w:t>Screening Decision</w:t>
      </w:r>
    </w:p>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your answers to the previous questions, do you feel that the policy should (please underline one):</w:t>
      </w:r>
    </w:p>
    <w:p w:rsidR="00B27485" w:rsidRDefault="00B27485" w:rsidP="00B27485">
      <w:pPr>
        <w:autoSpaceDE w:val="0"/>
        <w:autoSpaceDN w:val="0"/>
        <w:adjustRightInd w:val="0"/>
        <w:rPr>
          <w:rFonts w:cs="Arial"/>
          <w:sz w:val="24"/>
          <w:szCs w:val="24"/>
        </w:rPr>
      </w:pPr>
    </w:p>
    <w:p w:rsidR="00B27485" w:rsidRPr="00F552B7" w:rsidRDefault="00B27485" w:rsidP="00B27485">
      <w:pPr>
        <w:autoSpaceDE w:val="0"/>
        <w:autoSpaceDN w:val="0"/>
        <w:adjustRightInd w:val="0"/>
        <w:spacing w:after="120"/>
        <w:rPr>
          <w:rFonts w:cs="Arial"/>
          <w:b/>
          <w:sz w:val="24"/>
          <w:szCs w:val="24"/>
        </w:rPr>
      </w:pPr>
      <w:r>
        <w:rPr>
          <w:rFonts w:cs="Arial"/>
          <w:sz w:val="24"/>
          <w:szCs w:val="24"/>
        </w:rPr>
        <w:lastRenderedPageBreak/>
        <w:t xml:space="preserve">1. </w:t>
      </w:r>
      <w:r w:rsidRPr="00F552B7">
        <w:rPr>
          <w:rFonts w:cs="Arial"/>
          <w:b/>
          <w:sz w:val="24"/>
          <w:szCs w:val="24"/>
        </w:rPr>
        <w:t>Not be subject to an EQIA (with no mitigating measures required)</w:t>
      </w:r>
    </w:p>
    <w:p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rsidR="00B27485" w:rsidRDefault="00B27485" w:rsidP="00B27485">
      <w:pPr>
        <w:autoSpaceDE w:val="0"/>
        <w:autoSpaceDN w:val="0"/>
        <w:adjustRightInd w:val="0"/>
        <w:spacing w:after="120"/>
        <w:rPr>
          <w:rFonts w:cs="Arial"/>
          <w:sz w:val="24"/>
          <w:szCs w:val="24"/>
        </w:rPr>
      </w:pPr>
      <w:r>
        <w:rPr>
          <w:rFonts w:cs="Arial"/>
          <w:sz w:val="24"/>
          <w:szCs w:val="24"/>
        </w:rPr>
        <w:t>3. Not be subject to an EQIA at this time</w:t>
      </w:r>
    </w:p>
    <w:p w:rsidR="00B27485" w:rsidRDefault="00B27485" w:rsidP="00B27485">
      <w:pPr>
        <w:autoSpaceDE w:val="0"/>
        <w:autoSpaceDN w:val="0"/>
        <w:adjustRightInd w:val="0"/>
        <w:spacing w:after="120"/>
        <w:rPr>
          <w:rFonts w:cs="Arial"/>
          <w:sz w:val="24"/>
          <w:szCs w:val="24"/>
        </w:rPr>
      </w:pPr>
      <w:r>
        <w:rPr>
          <w:rFonts w:cs="Arial"/>
          <w:sz w:val="24"/>
          <w:szCs w:val="24"/>
        </w:rPr>
        <w:t>4. Be subject to an EQIA</w:t>
      </w:r>
    </w:p>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If 1. or 2. (i.e. not be subject to an EQIA), please provide details of the reasons why:</w:t>
      </w:r>
    </w:p>
    <w:p w:rsidR="00B27485" w:rsidRDefault="00B27485" w:rsidP="00B27485">
      <w:pPr>
        <w:autoSpaceDE w:val="0"/>
        <w:autoSpaceDN w:val="0"/>
        <w:adjustRightInd w:val="0"/>
        <w:rPr>
          <w:rFonts w:cs="Arial"/>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rsidTr="007A07DA">
        <w:trPr>
          <w:trHeight w:val="364"/>
        </w:trPr>
        <w:tc>
          <w:tcPr>
            <w:tcW w:w="8460" w:type="dxa"/>
          </w:tcPr>
          <w:p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rsidR="00B27485" w:rsidRDefault="00B27485" w:rsidP="00B27485">
      <w:pPr>
        <w:rPr>
          <w:rFonts w:cs="Arial"/>
        </w:rPr>
      </w:pPr>
    </w:p>
    <w:p w:rsidR="00B27485" w:rsidRDefault="00B27485" w:rsidP="00B27485">
      <w:pPr>
        <w:autoSpaceDE w:val="0"/>
        <w:autoSpaceDN w:val="0"/>
        <w:adjustRightInd w:val="0"/>
        <w:rPr>
          <w:rFonts w:cs="Arial"/>
          <w:sz w:val="24"/>
          <w:szCs w:val="24"/>
        </w:rPr>
      </w:pPr>
      <w:r>
        <w:rPr>
          <w:rFonts w:cs="Arial"/>
          <w:sz w:val="24"/>
          <w:szCs w:val="24"/>
        </w:rPr>
        <w:t>If 2. (i.e. not be subject to an EQIA), in what ways can identified adverse impacts attaching to the policy  be mitigated or an alternative policy be introduced?</w:t>
      </w:r>
    </w:p>
    <w:p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rsidTr="007A07DA">
        <w:trPr>
          <w:trHeight w:val="363"/>
        </w:trPr>
        <w:tc>
          <w:tcPr>
            <w:tcW w:w="8370" w:type="dxa"/>
          </w:tcPr>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rPr>
      </w:pPr>
    </w:p>
    <w:p w:rsidR="00B27485" w:rsidRDefault="00B27485" w:rsidP="00B27485">
      <w:pPr>
        <w:autoSpaceDE w:val="0"/>
        <w:autoSpaceDN w:val="0"/>
        <w:adjustRightInd w:val="0"/>
        <w:rPr>
          <w:rFonts w:cs="Arial"/>
          <w:sz w:val="24"/>
          <w:szCs w:val="24"/>
        </w:rPr>
      </w:pPr>
      <w:r>
        <w:rPr>
          <w:rFonts w:cs="Arial"/>
          <w:sz w:val="24"/>
          <w:szCs w:val="24"/>
        </w:rPr>
        <w:t>In light of these revisions, is there a need to re-screen the revised/alternative policy? Yes / No. If No, please explain why</w:t>
      </w:r>
    </w:p>
    <w:p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rsidTr="007A07DA">
        <w:trPr>
          <w:trHeight w:val="343"/>
        </w:trPr>
        <w:tc>
          <w:tcPr>
            <w:tcW w:w="8190" w:type="dxa"/>
          </w:tcPr>
          <w:p w:rsidR="00B27485" w:rsidRDefault="00B27485" w:rsidP="00E92D83">
            <w:pPr>
              <w:autoSpaceDE w:val="0"/>
              <w:autoSpaceDN w:val="0"/>
              <w:adjustRightInd w:val="0"/>
              <w:rPr>
                <w:rFonts w:cs="Arial"/>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rPr>
          <w:rFonts w:cs="Arial"/>
          <w:sz w:val="24"/>
          <w:szCs w:val="24"/>
        </w:rPr>
      </w:pPr>
    </w:p>
    <w:p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rsidTr="007A07DA">
        <w:trPr>
          <w:trHeight w:val="265"/>
        </w:trPr>
        <w:tc>
          <w:tcPr>
            <w:tcW w:w="8566" w:type="dxa"/>
          </w:tcPr>
          <w:p w:rsidR="00B27485" w:rsidRDefault="00B27485" w:rsidP="00E92D83">
            <w:pPr>
              <w:autoSpaceDE w:val="0"/>
              <w:autoSpaceDN w:val="0"/>
              <w:adjustRightInd w:val="0"/>
              <w:rPr>
                <w:rFonts w:cs="Arial"/>
                <w:b/>
              </w:rPr>
            </w:pPr>
          </w:p>
          <w:p w:rsidR="00B27485" w:rsidRDefault="00B27485" w:rsidP="00E92D83">
            <w:pPr>
              <w:autoSpaceDE w:val="0"/>
              <w:autoSpaceDN w:val="0"/>
              <w:adjustRightInd w:val="0"/>
              <w:rPr>
                <w:rFonts w:cs="Arial"/>
              </w:rPr>
            </w:pPr>
          </w:p>
        </w:tc>
      </w:tr>
    </w:tbl>
    <w:p w:rsidR="00B27485" w:rsidRDefault="00B27485" w:rsidP="00B27485">
      <w:pPr>
        <w:autoSpaceDE w:val="0"/>
        <w:autoSpaceDN w:val="0"/>
        <w:adjustRightInd w:val="0"/>
        <w:jc w:val="both"/>
        <w:rPr>
          <w:rFonts w:ascii="Tahoma" w:hAnsi="Tahoma" w:cs="Tahoma"/>
          <w:b/>
        </w:rPr>
      </w:pPr>
    </w:p>
    <w:p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rsidR="00B27485" w:rsidRDefault="00B27485" w:rsidP="00B27485">
      <w:pPr>
        <w:rPr>
          <w:rFonts w:cs="Arial"/>
          <w:sz w:val="24"/>
          <w:szCs w:val="24"/>
        </w:rPr>
      </w:pPr>
      <w:r>
        <w:rPr>
          <w:rFonts w:cs="Arial"/>
          <w:sz w:val="24"/>
          <w:szCs w:val="24"/>
        </w:rPr>
        <w:t>If YES, please provide details:</w:t>
      </w:r>
    </w:p>
    <w:p w:rsidR="00B27485" w:rsidRDefault="00B27485" w:rsidP="00B27485">
      <w:pPr>
        <w:rPr>
          <w:rFonts w:cs="Arial"/>
          <w:sz w:val="24"/>
          <w:szCs w:val="24"/>
        </w:rPr>
      </w:pPr>
    </w:p>
    <w:p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rsidR="00B27485" w:rsidRDefault="00B27485" w:rsidP="00E92D83">
            <w:pPr>
              <w:numPr>
                <w:ilvl w:val="12"/>
                <w:numId w:val="0"/>
              </w:numPr>
              <w:spacing w:before="120" w:after="120"/>
              <w:rPr>
                <w:rFonts w:cs="Arial"/>
                <w:b/>
                <w:highlight w:val="yellow"/>
              </w:rPr>
            </w:pPr>
            <w:r>
              <w:rPr>
                <w:rFonts w:cs="Arial"/>
                <w:b/>
              </w:rPr>
              <w:t>Rating (1-3)</w:t>
            </w:r>
          </w:p>
        </w:tc>
      </w:tr>
      <w:tr w:rsidR="00B27485" w:rsidTr="00E92D83">
        <w:trPr>
          <w:trHeight w:val="471"/>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spacing w:before="120" w:after="120"/>
              <w:rPr>
                <w:rFonts w:cs="Arial"/>
                <w:sz w:val="22"/>
                <w:szCs w:val="22"/>
                <w:highlight w:val="yellow"/>
              </w:rPr>
            </w:pPr>
          </w:p>
        </w:tc>
      </w:tr>
      <w:tr w:rsidR="00B27485" w:rsidTr="00E92D83">
        <w:trPr>
          <w:trHeight w:val="473"/>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highlight w:val="yellow"/>
              </w:rPr>
            </w:pPr>
          </w:p>
          <w:p w:rsidR="00B27485" w:rsidRPr="007A07DA" w:rsidRDefault="00B27485" w:rsidP="00E92D83">
            <w:pPr>
              <w:numPr>
                <w:ilvl w:val="12"/>
                <w:numId w:val="0"/>
              </w:numPr>
              <w:rPr>
                <w:rFonts w:cs="Arial"/>
                <w:sz w:val="22"/>
                <w:szCs w:val="22"/>
                <w:highlight w:val="yellow"/>
              </w:rPr>
            </w:pPr>
          </w:p>
        </w:tc>
      </w:tr>
      <w:tr w:rsidR="00B27485" w:rsidTr="007A07DA">
        <w:trPr>
          <w:trHeight w:val="420"/>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r w:rsidR="00B27485" w:rsidTr="00E92D83">
        <w:trPr>
          <w:trHeight w:val="775"/>
        </w:trPr>
        <w:tc>
          <w:tcPr>
            <w:tcW w:w="7920" w:type="dxa"/>
            <w:tcBorders>
              <w:top w:val="single" w:sz="2" w:space="0" w:color="auto"/>
              <w:left w:val="single" w:sz="2" w:space="0" w:color="auto"/>
              <w:bottom w:val="single" w:sz="2" w:space="0" w:color="auto"/>
              <w:right w:val="single" w:sz="2" w:space="0" w:color="auto"/>
            </w:tcBorders>
          </w:tcPr>
          <w:p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rsidR="00B27485" w:rsidRPr="007A07DA" w:rsidRDefault="00B27485" w:rsidP="00E92D83">
            <w:pPr>
              <w:numPr>
                <w:ilvl w:val="12"/>
                <w:numId w:val="0"/>
              </w:numPr>
              <w:rPr>
                <w:rFonts w:cs="Arial"/>
                <w:sz w:val="22"/>
                <w:szCs w:val="22"/>
              </w:rPr>
            </w:pPr>
          </w:p>
        </w:tc>
      </w:tr>
    </w:tbl>
    <w:p w:rsidR="00B27485" w:rsidRDefault="00B27485" w:rsidP="00B27485">
      <w:pPr>
        <w:pStyle w:val="BodyTextIndent2"/>
        <w:spacing w:line="240" w:lineRule="auto"/>
        <w:ind w:left="0"/>
        <w:rPr>
          <w:rFonts w:cs="Arial"/>
          <w:sz w:val="24"/>
          <w:szCs w:val="24"/>
        </w:rPr>
      </w:pPr>
      <w:r>
        <w:rPr>
          <w:rFonts w:cs="Arial"/>
          <w:sz w:val="24"/>
          <w:szCs w:val="24"/>
        </w:rPr>
        <w:lastRenderedPageBreak/>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rsidR="00B27485" w:rsidRDefault="00B27485" w:rsidP="00B27485">
      <w:pPr>
        <w:pStyle w:val="BodyTextIndent2"/>
        <w:spacing w:line="240" w:lineRule="auto"/>
        <w:ind w:left="0"/>
        <w:rPr>
          <w:rFonts w:cs="Arial"/>
          <w:sz w:val="24"/>
          <w:szCs w:val="24"/>
        </w:rPr>
      </w:pPr>
    </w:p>
    <w:p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rsidR="00B27485" w:rsidRDefault="00B27485" w:rsidP="00B27485">
      <w:pPr>
        <w:autoSpaceDE w:val="0"/>
        <w:autoSpaceDN w:val="0"/>
        <w:adjustRightInd w:val="0"/>
        <w:rPr>
          <w:rFonts w:cs="Arial"/>
          <w:b/>
        </w:rPr>
      </w:pPr>
      <w:r>
        <w:rPr>
          <w:rFonts w:cs="Arial"/>
          <w:b/>
        </w:rPr>
        <w:t>Monitoring</w:t>
      </w:r>
    </w:p>
    <w:p w:rsidR="00B27485" w:rsidRDefault="00B27485" w:rsidP="00B27485">
      <w:pPr>
        <w:autoSpaceDE w:val="0"/>
        <w:autoSpaceDN w:val="0"/>
        <w:adjustRightInd w:val="0"/>
        <w:rPr>
          <w:rFonts w:cs="Arial"/>
          <w:b/>
          <w:sz w:val="36"/>
          <w:szCs w:val="36"/>
        </w:rPr>
      </w:pPr>
    </w:p>
    <w:p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rsidTr="007A07DA">
        <w:trPr>
          <w:trHeight w:val="451"/>
        </w:trPr>
        <w:tc>
          <w:tcPr>
            <w:tcW w:w="8686" w:type="dxa"/>
          </w:tcPr>
          <w:p w:rsidR="00B27485" w:rsidRDefault="006D44B6" w:rsidP="00E92D83">
            <w:pPr>
              <w:autoSpaceDE w:val="0"/>
              <w:autoSpaceDN w:val="0"/>
              <w:adjustRightInd w:val="0"/>
              <w:rPr>
                <w:rFonts w:cs="Arial"/>
              </w:rPr>
            </w:pPr>
            <w:r>
              <w:rPr>
                <w:rFonts w:cs="Arial"/>
                <w:sz w:val="22"/>
                <w:szCs w:val="22"/>
              </w:rPr>
              <w:t>Policy to be reviewed every four years</w:t>
            </w:r>
          </w:p>
        </w:tc>
      </w:tr>
    </w:tbl>
    <w:p w:rsidR="00B27485" w:rsidRDefault="00B27485" w:rsidP="00B27485">
      <w:pPr>
        <w:pStyle w:val="BodyTextIndent2"/>
        <w:ind w:left="0"/>
        <w:rPr>
          <w:rFonts w:ascii="Tahoma" w:hAnsi="Tahoma" w:cs="Tahoma"/>
          <w:b/>
        </w:rPr>
      </w:pPr>
    </w:p>
    <w:p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B27485" w:rsidTr="00E92D83">
        <w:tc>
          <w:tcPr>
            <w:tcW w:w="5211" w:type="dxa"/>
          </w:tcPr>
          <w:p w:rsidR="00B27485" w:rsidRDefault="00B27485" w:rsidP="00E92D83">
            <w:pPr>
              <w:spacing w:before="120" w:after="120"/>
              <w:rPr>
                <w:rFonts w:cs="Arial"/>
                <w:b/>
              </w:rPr>
            </w:pPr>
            <w:r>
              <w:rPr>
                <w:rFonts w:cs="Arial"/>
                <w:b/>
              </w:rPr>
              <w:t xml:space="preserve">Screened by:      </w:t>
            </w:r>
          </w:p>
        </w:tc>
        <w:tc>
          <w:tcPr>
            <w:tcW w:w="2835" w:type="dxa"/>
          </w:tcPr>
          <w:p w:rsidR="00B27485" w:rsidRDefault="00B27485" w:rsidP="00E92D83">
            <w:pPr>
              <w:spacing w:before="120" w:after="120"/>
              <w:rPr>
                <w:rFonts w:cs="Arial"/>
                <w:b/>
              </w:rPr>
            </w:pPr>
            <w:r>
              <w:rPr>
                <w:rFonts w:cs="Arial"/>
                <w:b/>
              </w:rPr>
              <w:t xml:space="preserve">Position/Job Title      </w:t>
            </w:r>
          </w:p>
        </w:tc>
        <w:tc>
          <w:tcPr>
            <w:tcW w:w="1560" w:type="dxa"/>
          </w:tcPr>
          <w:p w:rsidR="00B27485" w:rsidRDefault="00B27485" w:rsidP="00E92D83">
            <w:pPr>
              <w:spacing w:before="120" w:after="120"/>
              <w:rPr>
                <w:rFonts w:cs="Arial"/>
                <w:b/>
              </w:rPr>
            </w:pPr>
            <w:r>
              <w:rPr>
                <w:rFonts w:cs="Arial"/>
                <w:b/>
              </w:rPr>
              <w:t>Date</w:t>
            </w:r>
          </w:p>
        </w:tc>
      </w:tr>
      <w:tr w:rsidR="00B27485" w:rsidTr="00E92D83">
        <w:tc>
          <w:tcPr>
            <w:tcW w:w="5211" w:type="dxa"/>
          </w:tcPr>
          <w:p w:rsidR="00B27485" w:rsidRPr="007A07DA" w:rsidRDefault="007A07DA" w:rsidP="00E92D83">
            <w:pPr>
              <w:spacing w:before="120" w:after="120"/>
              <w:rPr>
                <w:rFonts w:cs="Arial"/>
                <w:sz w:val="22"/>
                <w:szCs w:val="22"/>
              </w:rPr>
            </w:pPr>
            <w:r w:rsidRPr="007A07DA">
              <w:rPr>
                <w:rFonts w:cs="Arial"/>
                <w:sz w:val="22"/>
                <w:szCs w:val="22"/>
              </w:rPr>
              <w:t>Colin Moffett</w:t>
            </w:r>
          </w:p>
        </w:tc>
        <w:tc>
          <w:tcPr>
            <w:tcW w:w="2835" w:type="dxa"/>
          </w:tcPr>
          <w:p w:rsidR="00B27485" w:rsidRPr="007A07DA" w:rsidRDefault="007A07DA" w:rsidP="00E92D83">
            <w:pPr>
              <w:spacing w:before="120" w:after="120"/>
              <w:rPr>
                <w:rFonts w:cs="Arial"/>
                <w:sz w:val="22"/>
                <w:szCs w:val="22"/>
              </w:rPr>
            </w:pPr>
            <w:r w:rsidRPr="007A07DA">
              <w:rPr>
                <w:rFonts w:cs="Arial"/>
                <w:sz w:val="22"/>
                <w:szCs w:val="22"/>
              </w:rPr>
              <w:t>Equality Officer</w:t>
            </w:r>
          </w:p>
        </w:tc>
        <w:tc>
          <w:tcPr>
            <w:tcW w:w="1560" w:type="dxa"/>
          </w:tcPr>
          <w:p w:rsidR="00B27485" w:rsidRPr="007A07DA" w:rsidRDefault="00617122" w:rsidP="00E92D83">
            <w:pPr>
              <w:spacing w:before="120" w:after="120"/>
              <w:rPr>
                <w:rFonts w:cs="Arial"/>
                <w:sz w:val="22"/>
                <w:szCs w:val="22"/>
              </w:rPr>
            </w:pPr>
            <w:r>
              <w:rPr>
                <w:rFonts w:cs="Arial"/>
                <w:sz w:val="22"/>
                <w:szCs w:val="22"/>
              </w:rPr>
              <w:t>March 2015</w:t>
            </w:r>
          </w:p>
        </w:tc>
      </w:tr>
      <w:tr w:rsidR="00B27485" w:rsidTr="00E92D83">
        <w:tc>
          <w:tcPr>
            <w:tcW w:w="5211" w:type="dxa"/>
          </w:tcPr>
          <w:p w:rsidR="00B27485" w:rsidRPr="007A07DA" w:rsidRDefault="00D36B34" w:rsidP="00617122">
            <w:pPr>
              <w:spacing w:before="120" w:after="120"/>
              <w:rPr>
                <w:rFonts w:cs="Arial"/>
                <w:sz w:val="22"/>
                <w:szCs w:val="22"/>
              </w:rPr>
            </w:pPr>
            <w:r>
              <w:rPr>
                <w:rFonts w:ascii="Helv" w:eastAsiaTheme="minorHAnsi" w:hAnsi="Helv" w:cs="Helv"/>
                <w:color w:val="000000"/>
                <w:sz w:val="20"/>
                <w:szCs w:val="20"/>
                <w:lang w:eastAsia="en-US"/>
              </w:rPr>
              <w:t>Colum Jackson</w:t>
            </w:r>
            <w:r>
              <w:rPr>
                <w:rFonts w:ascii="Tms Rmn" w:eastAsiaTheme="minorHAnsi" w:hAnsi="Tms Rmn" w:cs="Tms Rmn"/>
                <w:color w:val="000000"/>
                <w:sz w:val="24"/>
                <w:szCs w:val="24"/>
                <w:lang w:eastAsia="en-US"/>
              </w:rPr>
              <w:t xml:space="preserve"> </w:t>
            </w:r>
            <w:r>
              <w:rPr>
                <w:rFonts w:ascii="Helv" w:eastAsiaTheme="minorHAnsi" w:hAnsi="Helv" w:cs="Helv"/>
                <w:color w:val="000000"/>
                <w:sz w:val="20"/>
                <w:szCs w:val="20"/>
                <w:lang w:eastAsia="en-US"/>
              </w:rPr>
              <w:br/>
            </w:r>
          </w:p>
        </w:tc>
        <w:tc>
          <w:tcPr>
            <w:tcW w:w="2835" w:type="dxa"/>
          </w:tcPr>
          <w:p w:rsidR="00B27485" w:rsidRPr="007A07DA" w:rsidRDefault="00617122" w:rsidP="00E92D83">
            <w:pPr>
              <w:spacing w:before="120" w:after="120"/>
              <w:rPr>
                <w:rFonts w:cs="Arial"/>
                <w:sz w:val="22"/>
                <w:szCs w:val="22"/>
              </w:rPr>
            </w:pPr>
            <w:r>
              <w:rPr>
                <w:rFonts w:ascii="Helv" w:eastAsiaTheme="minorHAnsi" w:hAnsi="Helv" w:cs="Helv"/>
                <w:color w:val="000000"/>
                <w:sz w:val="20"/>
                <w:szCs w:val="20"/>
                <w:lang w:eastAsia="en-US"/>
              </w:rPr>
              <w:t>Assistant Director of  Environment, Health and Building Services Department</w:t>
            </w:r>
          </w:p>
        </w:tc>
        <w:tc>
          <w:tcPr>
            <w:tcW w:w="1560" w:type="dxa"/>
          </w:tcPr>
          <w:p w:rsidR="00B27485" w:rsidRPr="007A07DA" w:rsidRDefault="00617122" w:rsidP="00E92D83">
            <w:pPr>
              <w:spacing w:before="120" w:after="120"/>
              <w:rPr>
                <w:rFonts w:cs="Arial"/>
                <w:sz w:val="22"/>
                <w:szCs w:val="22"/>
              </w:rPr>
            </w:pPr>
            <w:r>
              <w:rPr>
                <w:rFonts w:cs="Arial"/>
                <w:sz w:val="22"/>
                <w:szCs w:val="22"/>
              </w:rPr>
              <w:t>March 2015</w:t>
            </w:r>
            <w:bookmarkStart w:id="3" w:name="_GoBack"/>
            <w:bookmarkEnd w:id="3"/>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b/>
                <w:sz w:val="22"/>
                <w:szCs w:val="22"/>
              </w:rPr>
            </w:pPr>
            <w:r w:rsidRPr="007A07DA">
              <w:rPr>
                <w:rFonts w:cs="Arial"/>
                <w:b/>
                <w:sz w:val="22"/>
                <w:szCs w:val="22"/>
              </w:rPr>
              <w:t>Approved by:</w:t>
            </w: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r w:rsidR="00B27485" w:rsidTr="00E92D83">
        <w:tc>
          <w:tcPr>
            <w:tcW w:w="5211" w:type="dxa"/>
          </w:tcPr>
          <w:p w:rsidR="00B27485" w:rsidRPr="007A07DA" w:rsidRDefault="00B27485" w:rsidP="00E92D83">
            <w:pPr>
              <w:spacing w:before="120" w:after="120"/>
              <w:rPr>
                <w:rFonts w:cs="Arial"/>
                <w:sz w:val="22"/>
                <w:szCs w:val="22"/>
              </w:rPr>
            </w:pPr>
          </w:p>
        </w:tc>
        <w:tc>
          <w:tcPr>
            <w:tcW w:w="2835" w:type="dxa"/>
          </w:tcPr>
          <w:p w:rsidR="00B27485" w:rsidRPr="007A07DA" w:rsidRDefault="00B27485" w:rsidP="00E92D83">
            <w:pPr>
              <w:spacing w:before="120" w:after="120"/>
              <w:rPr>
                <w:rFonts w:cs="Arial"/>
                <w:sz w:val="22"/>
                <w:szCs w:val="22"/>
              </w:rPr>
            </w:pPr>
          </w:p>
        </w:tc>
        <w:tc>
          <w:tcPr>
            <w:tcW w:w="1560" w:type="dxa"/>
          </w:tcPr>
          <w:p w:rsidR="00B27485" w:rsidRPr="007A07DA" w:rsidRDefault="00B27485" w:rsidP="00E92D83">
            <w:pPr>
              <w:spacing w:before="120" w:after="120"/>
              <w:rPr>
                <w:rFonts w:cs="Arial"/>
                <w:sz w:val="22"/>
                <w:szCs w:val="22"/>
              </w:rPr>
            </w:pPr>
          </w:p>
        </w:tc>
      </w:tr>
    </w:tbl>
    <w:p w:rsidR="00B27485" w:rsidRDefault="00B27485" w:rsidP="00B27485"/>
    <w:p w:rsidR="00B27485" w:rsidRDefault="00B27485" w:rsidP="00B27485"/>
    <w:p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B27485" w:rsidRDefault="00B27485" w:rsidP="00B27485">
      <w:pPr>
        <w:ind w:right="26"/>
        <w:rPr>
          <w:rFonts w:ascii="Tahoma" w:hAnsi="Tahoma" w:cs="Tahoma"/>
          <w:b/>
        </w:rPr>
      </w:pPr>
    </w:p>
    <w:p w:rsidR="00E92D83" w:rsidRDefault="00E92D83"/>
    <w:sectPr w:rsidR="00E92D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7DA" w:rsidRDefault="007A07DA" w:rsidP="007A07DA">
      <w:r>
        <w:separator/>
      </w:r>
    </w:p>
  </w:endnote>
  <w:endnote w:type="continuationSeparator" w:id="0">
    <w:p w:rsidR="007A07DA" w:rsidRDefault="007A07DA"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357918"/>
      <w:docPartObj>
        <w:docPartGallery w:val="Page Numbers (Bottom of Page)"/>
        <w:docPartUnique/>
      </w:docPartObj>
    </w:sdtPr>
    <w:sdtEndPr>
      <w:rPr>
        <w:noProof/>
      </w:rPr>
    </w:sdtEndPr>
    <w:sdtContent>
      <w:p w:rsidR="007A07DA" w:rsidRDefault="007A07DA">
        <w:pPr>
          <w:pStyle w:val="Footer"/>
          <w:jc w:val="center"/>
        </w:pPr>
        <w:r>
          <w:fldChar w:fldCharType="begin"/>
        </w:r>
        <w:r>
          <w:instrText xml:space="preserve"> PAGE   \* MERGEFORMAT </w:instrText>
        </w:r>
        <w:r>
          <w:fldChar w:fldCharType="separate"/>
        </w:r>
        <w:r w:rsidR="00617122">
          <w:rPr>
            <w:noProof/>
          </w:rPr>
          <w:t>6</w:t>
        </w:r>
        <w:r>
          <w:rPr>
            <w:noProof/>
          </w:rPr>
          <w:fldChar w:fldCharType="end"/>
        </w:r>
      </w:p>
    </w:sdtContent>
  </w:sdt>
  <w:p w:rsidR="007A07DA" w:rsidRDefault="007A0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7DA" w:rsidRDefault="007A07DA" w:rsidP="007A07DA">
      <w:r>
        <w:separator/>
      </w:r>
    </w:p>
  </w:footnote>
  <w:footnote w:type="continuationSeparator" w:id="0">
    <w:p w:rsidR="007A07DA" w:rsidRDefault="007A07DA" w:rsidP="007A0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85"/>
    <w:rsid w:val="004F3BB8"/>
    <w:rsid w:val="00617122"/>
    <w:rsid w:val="006D44B6"/>
    <w:rsid w:val="007A07DA"/>
    <w:rsid w:val="009A72C3"/>
    <w:rsid w:val="00B27485"/>
    <w:rsid w:val="00CD0444"/>
    <w:rsid w:val="00D36B34"/>
    <w:rsid w:val="00E92D83"/>
    <w:rsid w:val="00F5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liam.mclernon</cp:lastModifiedBy>
  <cp:revision>5</cp:revision>
  <dcterms:created xsi:type="dcterms:W3CDTF">2015-03-09T14:29:00Z</dcterms:created>
  <dcterms:modified xsi:type="dcterms:W3CDTF">2015-03-09T15:56:00Z</dcterms:modified>
</cp:coreProperties>
</file>