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DC" w:rsidRPr="00F5658D" w:rsidRDefault="006814DC" w:rsidP="009F23E2">
      <w:pPr>
        <w:jc w:val="center"/>
        <w:rPr>
          <w:rFonts w:ascii="Arial" w:hAnsi="Arial" w:cs="Arial"/>
          <w:b/>
          <w:bCs/>
          <w:sz w:val="24"/>
          <w:szCs w:val="24"/>
        </w:rPr>
      </w:pPr>
      <w:r w:rsidRPr="00F5658D">
        <w:rPr>
          <w:rFonts w:ascii="Arial" w:hAnsi="Arial" w:cs="Arial"/>
          <w:b/>
          <w:bCs/>
          <w:sz w:val="24"/>
          <w:szCs w:val="24"/>
        </w:rPr>
        <w:t>Newry, Mourne and Down District Council</w:t>
      </w:r>
    </w:p>
    <w:p w:rsidR="00940DF6" w:rsidRPr="00F5658D" w:rsidRDefault="009943AD" w:rsidP="009F23E2">
      <w:pPr>
        <w:jc w:val="center"/>
        <w:rPr>
          <w:rFonts w:ascii="Arial" w:hAnsi="Arial" w:cs="Arial"/>
          <w:b/>
          <w:bCs/>
          <w:sz w:val="24"/>
          <w:szCs w:val="24"/>
        </w:rPr>
      </w:pPr>
      <w:r w:rsidRPr="00F5658D">
        <w:rPr>
          <w:rFonts w:ascii="Arial" w:hAnsi="Arial" w:cs="Arial"/>
          <w:b/>
          <w:bCs/>
          <w:sz w:val="24"/>
          <w:szCs w:val="24"/>
        </w:rPr>
        <w:t>Treasury Management S</w:t>
      </w:r>
      <w:r w:rsidR="00B6697E" w:rsidRPr="00F5658D">
        <w:rPr>
          <w:rFonts w:ascii="Arial" w:hAnsi="Arial" w:cs="Arial"/>
          <w:b/>
          <w:bCs/>
          <w:sz w:val="24"/>
          <w:szCs w:val="24"/>
        </w:rPr>
        <w:t>trategy Statement 201</w:t>
      </w:r>
      <w:r w:rsidR="002E3175" w:rsidRPr="00F5658D">
        <w:rPr>
          <w:rFonts w:ascii="Arial" w:hAnsi="Arial" w:cs="Arial"/>
          <w:b/>
          <w:bCs/>
          <w:sz w:val="24"/>
          <w:szCs w:val="24"/>
        </w:rPr>
        <w:t>6</w:t>
      </w:r>
      <w:r w:rsidR="00B6697E" w:rsidRPr="00F5658D">
        <w:rPr>
          <w:rFonts w:ascii="Arial" w:hAnsi="Arial" w:cs="Arial"/>
          <w:b/>
          <w:bCs/>
          <w:sz w:val="24"/>
          <w:szCs w:val="24"/>
        </w:rPr>
        <w:t>/1</w:t>
      </w:r>
      <w:r w:rsidR="002E3175" w:rsidRPr="00F5658D">
        <w:rPr>
          <w:rFonts w:ascii="Arial" w:hAnsi="Arial" w:cs="Arial"/>
          <w:b/>
          <w:bCs/>
          <w:sz w:val="24"/>
          <w:szCs w:val="24"/>
        </w:rPr>
        <w:t>7</w:t>
      </w:r>
    </w:p>
    <w:p w:rsidR="005D54C6" w:rsidRPr="00F5658D" w:rsidRDefault="005D54C6" w:rsidP="009F23E2">
      <w:pPr>
        <w:pStyle w:val="ListParagraph"/>
        <w:ind w:left="0"/>
        <w:contextualSpacing w:val="0"/>
        <w:jc w:val="both"/>
        <w:rPr>
          <w:rFonts w:ascii="Arial" w:hAnsi="Arial" w:cs="Arial"/>
          <w:bCs/>
          <w:i/>
          <w:color w:val="AF173B"/>
        </w:rPr>
      </w:pPr>
    </w:p>
    <w:p w:rsidR="00032328" w:rsidRPr="00F5658D" w:rsidRDefault="004363C9" w:rsidP="009F23E2">
      <w:pPr>
        <w:pStyle w:val="ListParagraph"/>
        <w:ind w:left="0"/>
        <w:contextualSpacing w:val="0"/>
        <w:jc w:val="both"/>
        <w:rPr>
          <w:rFonts w:ascii="Arial" w:hAnsi="Arial" w:cs="Arial"/>
          <w:b/>
          <w:u w:val="single"/>
        </w:rPr>
      </w:pPr>
      <w:r w:rsidRPr="00F5658D">
        <w:rPr>
          <w:rFonts w:ascii="Arial" w:hAnsi="Arial" w:cs="Arial"/>
          <w:b/>
          <w:u w:val="single"/>
        </w:rPr>
        <w:t>Introduction</w:t>
      </w:r>
    </w:p>
    <w:p w:rsidR="00940DF6" w:rsidRPr="00F5658D" w:rsidRDefault="006814DC" w:rsidP="009F23E2">
      <w:pPr>
        <w:pStyle w:val="ListParagraph"/>
        <w:ind w:left="0"/>
        <w:contextualSpacing w:val="0"/>
        <w:jc w:val="both"/>
        <w:rPr>
          <w:rFonts w:ascii="Arial" w:hAnsi="Arial" w:cs="Arial"/>
        </w:rPr>
      </w:pPr>
      <w:r w:rsidRPr="00F5658D">
        <w:rPr>
          <w:rFonts w:ascii="Arial" w:hAnsi="Arial" w:cs="Arial"/>
        </w:rPr>
        <w:t xml:space="preserve">At the Council </w:t>
      </w:r>
      <w:r w:rsidR="00962A72" w:rsidRPr="00F5658D">
        <w:rPr>
          <w:rFonts w:ascii="Arial" w:hAnsi="Arial" w:cs="Arial"/>
        </w:rPr>
        <w:t>meeting</w:t>
      </w:r>
      <w:r w:rsidRPr="00F5658D">
        <w:rPr>
          <w:rFonts w:ascii="Arial" w:hAnsi="Arial" w:cs="Arial"/>
        </w:rPr>
        <w:t xml:space="preserve"> held on Wednesday 10</w:t>
      </w:r>
      <w:r w:rsidRPr="00F5658D">
        <w:rPr>
          <w:rFonts w:ascii="Arial" w:hAnsi="Arial" w:cs="Arial"/>
          <w:vertAlign w:val="superscript"/>
        </w:rPr>
        <w:t>th</w:t>
      </w:r>
      <w:r w:rsidRPr="00F5658D">
        <w:rPr>
          <w:rFonts w:ascii="Arial" w:hAnsi="Arial" w:cs="Arial"/>
        </w:rPr>
        <w:t xml:space="preserve"> February </w:t>
      </w:r>
      <w:r w:rsidR="00940DF6" w:rsidRPr="00F5658D">
        <w:rPr>
          <w:rFonts w:ascii="Arial" w:hAnsi="Arial" w:cs="Arial"/>
        </w:rPr>
        <w:t>the Authority adopted the Chartered Institute of Public Finance and Accountancy’s Treasury Management in the Public Services: Code of Practice 2011 Edition (the CIPFA Code) which requires the Authority to approve a treasury management strategy before the start of each financial year.</w:t>
      </w:r>
    </w:p>
    <w:p w:rsidR="00753088" w:rsidRPr="00F5658D" w:rsidRDefault="00753088" w:rsidP="009F23E2">
      <w:pPr>
        <w:pStyle w:val="ListParagraph"/>
        <w:ind w:left="0"/>
        <w:contextualSpacing w:val="0"/>
        <w:jc w:val="both"/>
        <w:rPr>
          <w:rFonts w:ascii="Arial" w:hAnsi="Arial" w:cs="Arial"/>
        </w:rPr>
      </w:pPr>
      <w:r w:rsidRPr="00F5658D">
        <w:rPr>
          <w:rFonts w:ascii="Arial" w:hAnsi="Arial" w:cs="Arial"/>
        </w:rPr>
        <w:t>In addition, the Department of the Environment (DOE) issued revised Guidance on Local Authority Investments in October 2011 that requires the Authority to approve an investment strategy before the start of each financial year.</w:t>
      </w:r>
    </w:p>
    <w:p w:rsidR="00B877DA" w:rsidRPr="00F5658D" w:rsidRDefault="00940DF6" w:rsidP="009F23E2">
      <w:pPr>
        <w:pStyle w:val="ListParagraph"/>
        <w:ind w:left="0"/>
        <w:contextualSpacing w:val="0"/>
        <w:jc w:val="both"/>
        <w:rPr>
          <w:rFonts w:ascii="Arial" w:hAnsi="Arial" w:cs="Arial"/>
        </w:rPr>
      </w:pPr>
      <w:r w:rsidRPr="00F5658D">
        <w:rPr>
          <w:rFonts w:ascii="Arial" w:hAnsi="Arial" w:cs="Arial"/>
        </w:rPr>
        <w:t xml:space="preserve">This report fulfils the </w:t>
      </w:r>
      <w:r w:rsidR="00AD4AA3" w:rsidRPr="00F5658D">
        <w:rPr>
          <w:rFonts w:ascii="Arial" w:hAnsi="Arial" w:cs="Arial"/>
        </w:rPr>
        <w:t>Authority</w:t>
      </w:r>
      <w:r w:rsidRPr="00F5658D">
        <w:rPr>
          <w:rFonts w:ascii="Arial" w:hAnsi="Arial" w:cs="Arial"/>
        </w:rPr>
        <w:t xml:space="preserve">’s legal obligation under the Local Government </w:t>
      </w:r>
      <w:r w:rsidR="00237919" w:rsidRPr="00F5658D">
        <w:rPr>
          <w:rFonts w:ascii="Arial" w:hAnsi="Arial" w:cs="Arial"/>
        </w:rPr>
        <w:t>Act (Northern Ireland) 2011</w:t>
      </w:r>
      <w:r w:rsidRPr="00F5658D">
        <w:rPr>
          <w:rFonts w:ascii="Arial" w:hAnsi="Arial" w:cs="Arial"/>
        </w:rPr>
        <w:t xml:space="preserve"> to have regard to both the CIPFA Code and the </w:t>
      </w:r>
      <w:r w:rsidR="00753088" w:rsidRPr="00F5658D">
        <w:rPr>
          <w:rFonts w:ascii="Arial" w:hAnsi="Arial" w:cs="Arial"/>
        </w:rPr>
        <w:t>DOE</w:t>
      </w:r>
      <w:r w:rsidRPr="00F5658D">
        <w:rPr>
          <w:rFonts w:ascii="Arial" w:hAnsi="Arial" w:cs="Arial"/>
        </w:rPr>
        <w:t xml:space="preserve"> Guidance.</w:t>
      </w:r>
    </w:p>
    <w:p w:rsidR="00032328" w:rsidRPr="00F5658D" w:rsidRDefault="00332211" w:rsidP="009F23E2">
      <w:pPr>
        <w:pStyle w:val="ListParagraph"/>
        <w:ind w:left="0"/>
        <w:contextualSpacing w:val="0"/>
        <w:jc w:val="both"/>
        <w:rPr>
          <w:rFonts w:ascii="Arial" w:hAnsi="Arial" w:cs="Arial"/>
        </w:rPr>
      </w:pPr>
      <w:r w:rsidRPr="00F5658D">
        <w:rPr>
          <w:rFonts w:ascii="Arial" w:hAnsi="Arial" w:cs="Arial"/>
        </w:rPr>
        <w:t>T</w:t>
      </w:r>
      <w:r w:rsidR="00AD4AA3" w:rsidRPr="00F5658D">
        <w:rPr>
          <w:rFonts w:ascii="Arial" w:hAnsi="Arial" w:cs="Arial"/>
        </w:rPr>
        <w:t xml:space="preserve">he Authority has </w:t>
      </w:r>
      <w:r w:rsidR="004A1B0B" w:rsidRPr="00F5658D">
        <w:rPr>
          <w:rFonts w:ascii="Arial" w:hAnsi="Arial" w:cs="Arial"/>
          <w:bCs/>
        </w:rPr>
        <w:t>and will be borrowing and investing</w:t>
      </w:r>
      <w:r w:rsidRPr="00F5658D">
        <w:rPr>
          <w:rFonts w:ascii="Arial" w:hAnsi="Arial" w:cs="Arial"/>
        </w:rPr>
        <w:t xml:space="preserve"> substantial sums of money and </w:t>
      </w:r>
      <w:r w:rsidR="00AD4AA3" w:rsidRPr="00F5658D">
        <w:rPr>
          <w:rFonts w:ascii="Arial" w:hAnsi="Arial" w:cs="Arial"/>
        </w:rPr>
        <w:t xml:space="preserve">is </w:t>
      </w:r>
      <w:r w:rsidRPr="00F5658D">
        <w:rPr>
          <w:rFonts w:ascii="Arial" w:hAnsi="Arial" w:cs="Arial"/>
        </w:rPr>
        <w:t>therefore expos</w:t>
      </w:r>
      <w:r w:rsidR="00AD4AA3" w:rsidRPr="00F5658D">
        <w:rPr>
          <w:rFonts w:ascii="Arial" w:hAnsi="Arial" w:cs="Arial"/>
        </w:rPr>
        <w:t>ed</w:t>
      </w:r>
      <w:r w:rsidRPr="00F5658D">
        <w:rPr>
          <w:rFonts w:ascii="Arial" w:hAnsi="Arial" w:cs="Arial"/>
        </w:rPr>
        <w:t xml:space="preserve"> to financial risks including the loss of invested funds and </w:t>
      </w:r>
      <w:r w:rsidR="00993DAD" w:rsidRPr="00F5658D">
        <w:rPr>
          <w:rFonts w:ascii="Arial" w:hAnsi="Arial" w:cs="Arial"/>
        </w:rPr>
        <w:t xml:space="preserve">the </w:t>
      </w:r>
      <w:r w:rsidR="005122C7" w:rsidRPr="00F5658D">
        <w:rPr>
          <w:rFonts w:ascii="Arial" w:hAnsi="Arial" w:cs="Arial"/>
        </w:rPr>
        <w:t xml:space="preserve">revenue </w:t>
      </w:r>
      <w:r w:rsidR="00993DAD" w:rsidRPr="00F5658D">
        <w:rPr>
          <w:rFonts w:ascii="Arial" w:hAnsi="Arial" w:cs="Arial"/>
        </w:rPr>
        <w:t xml:space="preserve">effect of changing interest rates.  The successful identification, monitoring and control of risk </w:t>
      </w:r>
      <w:r w:rsidR="0008102D" w:rsidRPr="00F5658D">
        <w:rPr>
          <w:rFonts w:ascii="Arial" w:hAnsi="Arial" w:cs="Arial"/>
        </w:rPr>
        <w:t>are</w:t>
      </w:r>
      <w:r w:rsidR="00993DAD" w:rsidRPr="00F5658D">
        <w:rPr>
          <w:rFonts w:ascii="Arial" w:hAnsi="Arial" w:cs="Arial"/>
        </w:rPr>
        <w:t xml:space="preserve"> therefore central to the Authority’s treasury management strategy.</w:t>
      </w:r>
    </w:p>
    <w:p w:rsidR="007C3CFF" w:rsidRPr="00F5658D" w:rsidRDefault="007C3CFF" w:rsidP="009F23E2">
      <w:pPr>
        <w:pStyle w:val="ListParagraph"/>
        <w:ind w:left="0"/>
        <w:contextualSpacing w:val="0"/>
        <w:jc w:val="both"/>
        <w:rPr>
          <w:rFonts w:ascii="Arial" w:hAnsi="Arial" w:cs="Arial"/>
        </w:rPr>
      </w:pPr>
    </w:p>
    <w:p w:rsidR="004363C9" w:rsidRPr="00F5658D" w:rsidRDefault="004363C9" w:rsidP="009F23E2">
      <w:pPr>
        <w:pStyle w:val="ListParagraph"/>
        <w:ind w:left="0"/>
        <w:contextualSpacing w:val="0"/>
        <w:jc w:val="both"/>
        <w:rPr>
          <w:rFonts w:ascii="Arial" w:hAnsi="Arial" w:cs="Arial"/>
          <w:b/>
          <w:u w:val="single"/>
        </w:rPr>
      </w:pPr>
      <w:r w:rsidRPr="00F5658D">
        <w:rPr>
          <w:rFonts w:ascii="Arial" w:hAnsi="Arial" w:cs="Arial"/>
          <w:b/>
          <w:u w:val="single"/>
        </w:rPr>
        <w:t>External Context</w:t>
      </w:r>
    </w:p>
    <w:p w:rsidR="004A1B0B" w:rsidRPr="00F5658D" w:rsidRDefault="00647DD4" w:rsidP="00B357B3">
      <w:pPr>
        <w:pStyle w:val="ListParagraph"/>
        <w:ind w:left="0"/>
        <w:contextualSpacing w:val="0"/>
        <w:jc w:val="both"/>
        <w:rPr>
          <w:rFonts w:ascii="Arial" w:hAnsi="Arial" w:cs="Arial"/>
          <w:b/>
        </w:rPr>
      </w:pPr>
      <w:r w:rsidRPr="00F5658D">
        <w:rPr>
          <w:rFonts w:ascii="Arial" w:hAnsi="Arial" w:cs="Arial"/>
          <w:b/>
        </w:rPr>
        <w:t>Economic</w:t>
      </w:r>
      <w:r w:rsidR="00C92F60" w:rsidRPr="00F5658D">
        <w:rPr>
          <w:rFonts w:ascii="Arial" w:hAnsi="Arial" w:cs="Arial"/>
          <w:b/>
        </w:rPr>
        <w:t xml:space="preserve"> background: </w:t>
      </w:r>
    </w:p>
    <w:p w:rsidR="00B357B3" w:rsidRPr="00F5658D" w:rsidRDefault="00B357B3" w:rsidP="00B357B3">
      <w:pPr>
        <w:pStyle w:val="ListParagraph"/>
        <w:ind w:left="0"/>
        <w:contextualSpacing w:val="0"/>
        <w:jc w:val="both"/>
        <w:rPr>
          <w:rFonts w:ascii="Arial" w:hAnsi="Arial" w:cs="Arial"/>
        </w:rPr>
      </w:pPr>
      <w:r w:rsidRPr="00F5658D">
        <w:rPr>
          <w:rFonts w:ascii="Arial" w:hAnsi="Arial" w:cs="Arial"/>
        </w:rPr>
        <w:t xml:space="preserve">Domestic demand has grown robustly, supported by sustained real income growth and a gradual decline in private sector savings.  </w:t>
      </w:r>
      <w:r w:rsidR="00903ABA" w:rsidRPr="00F5658D">
        <w:rPr>
          <w:rFonts w:ascii="Arial" w:hAnsi="Arial" w:cs="Arial"/>
        </w:rPr>
        <w:t>Low oil and commodity prices were</w:t>
      </w:r>
      <w:r w:rsidRPr="00F5658D">
        <w:rPr>
          <w:rFonts w:ascii="Arial" w:hAnsi="Arial" w:cs="Arial"/>
        </w:rPr>
        <w:t xml:space="preserve"> a notable feature o</w:t>
      </w:r>
      <w:r w:rsidR="00903ABA" w:rsidRPr="00F5658D">
        <w:rPr>
          <w:rFonts w:ascii="Arial" w:hAnsi="Arial" w:cs="Arial"/>
        </w:rPr>
        <w:t>f 2015, and</w:t>
      </w:r>
      <w:r w:rsidRPr="00F5658D">
        <w:rPr>
          <w:rFonts w:ascii="Arial" w:hAnsi="Arial" w:cs="Arial"/>
        </w:rPr>
        <w:t xml:space="preserve"> contributed to annual CPI </w:t>
      </w:r>
      <w:r w:rsidR="00903ABA" w:rsidRPr="00F5658D">
        <w:rPr>
          <w:rFonts w:ascii="Arial" w:hAnsi="Arial" w:cs="Arial"/>
        </w:rPr>
        <w:t xml:space="preserve">inflation </w:t>
      </w:r>
      <w:r w:rsidRPr="00F5658D">
        <w:rPr>
          <w:rFonts w:ascii="Arial" w:hAnsi="Arial" w:cs="Arial"/>
        </w:rPr>
        <w:t>falling to 0.1%</w:t>
      </w:r>
      <w:r w:rsidR="00903ABA" w:rsidRPr="00F5658D">
        <w:rPr>
          <w:rFonts w:ascii="Arial" w:hAnsi="Arial" w:cs="Arial"/>
        </w:rPr>
        <w:t xml:space="preserve"> in </w:t>
      </w:r>
      <w:r w:rsidR="004C6B8B" w:rsidRPr="00F5658D">
        <w:rPr>
          <w:rFonts w:ascii="Arial" w:hAnsi="Arial" w:cs="Arial"/>
        </w:rPr>
        <w:t>October</w:t>
      </w:r>
      <w:r w:rsidRPr="00F5658D">
        <w:rPr>
          <w:rFonts w:ascii="Arial" w:hAnsi="Arial" w:cs="Arial"/>
        </w:rPr>
        <w:t>.  Wage</w:t>
      </w:r>
      <w:r w:rsidR="004C6B8B" w:rsidRPr="00F5658D">
        <w:rPr>
          <w:rFonts w:ascii="Arial" w:hAnsi="Arial" w:cs="Arial"/>
        </w:rPr>
        <w:t>s are</w:t>
      </w:r>
      <w:r w:rsidRPr="00F5658D">
        <w:rPr>
          <w:rFonts w:ascii="Arial" w:hAnsi="Arial" w:cs="Arial"/>
        </w:rPr>
        <w:t xml:space="preserve"> grow</w:t>
      </w:r>
      <w:r w:rsidR="004C6B8B" w:rsidRPr="00F5658D">
        <w:rPr>
          <w:rFonts w:ascii="Arial" w:hAnsi="Arial" w:cs="Arial"/>
        </w:rPr>
        <w:t>ing</w:t>
      </w:r>
      <w:r w:rsidRPr="00F5658D">
        <w:rPr>
          <w:rFonts w:ascii="Arial" w:hAnsi="Arial" w:cs="Arial"/>
        </w:rPr>
        <w:t xml:space="preserve"> at 3% </w:t>
      </w:r>
      <w:r w:rsidR="004C6B8B" w:rsidRPr="00F5658D">
        <w:rPr>
          <w:rFonts w:ascii="Arial" w:hAnsi="Arial" w:cs="Arial"/>
        </w:rPr>
        <w:t>a year,</w:t>
      </w:r>
      <w:r w:rsidRPr="00F5658D">
        <w:rPr>
          <w:rFonts w:ascii="Arial" w:hAnsi="Arial" w:cs="Arial"/>
        </w:rPr>
        <w:t xml:space="preserve"> and the unemployment rate </w:t>
      </w:r>
      <w:r w:rsidR="004C6B8B" w:rsidRPr="00F5658D">
        <w:rPr>
          <w:rFonts w:ascii="Arial" w:hAnsi="Arial" w:cs="Arial"/>
        </w:rPr>
        <w:t xml:space="preserve">has </w:t>
      </w:r>
      <w:r w:rsidRPr="00F5658D">
        <w:rPr>
          <w:rFonts w:ascii="Arial" w:hAnsi="Arial" w:cs="Arial"/>
        </w:rPr>
        <w:t xml:space="preserve">dropped to 5.4%.  Mortgage approvals </w:t>
      </w:r>
      <w:r w:rsidR="004C6B8B" w:rsidRPr="00F5658D">
        <w:rPr>
          <w:rFonts w:ascii="Arial" w:hAnsi="Arial" w:cs="Arial"/>
        </w:rPr>
        <w:t>have risen</w:t>
      </w:r>
      <w:r w:rsidRPr="00F5658D">
        <w:rPr>
          <w:rFonts w:ascii="Arial" w:hAnsi="Arial" w:cs="Arial"/>
        </w:rPr>
        <w:t xml:space="preserve"> to over 70</w:t>
      </w:r>
      <w:r w:rsidR="004C6B8B" w:rsidRPr="00F5658D">
        <w:rPr>
          <w:rFonts w:ascii="Arial" w:hAnsi="Arial" w:cs="Arial"/>
        </w:rPr>
        <w:t>,000 a</w:t>
      </w:r>
      <w:r w:rsidRPr="00F5658D">
        <w:rPr>
          <w:rFonts w:ascii="Arial" w:hAnsi="Arial" w:cs="Arial"/>
        </w:rPr>
        <w:t xml:space="preserve"> month and annual house price growth </w:t>
      </w:r>
      <w:r w:rsidR="004C6B8B" w:rsidRPr="00F5658D">
        <w:rPr>
          <w:rFonts w:ascii="Arial" w:hAnsi="Arial" w:cs="Arial"/>
        </w:rPr>
        <w:t>is around 3.5%.</w:t>
      </w:r>
      <w:r w:rsidRPr="00F5658D">
        <w:rPr>
          <w:rFonts w:ascii="Arial" w:hAnsi="Arial" w:cs="Arial"/>
        </w:rPr>
        <w:t>  The</w:t>
      </w:r>
      <w:r w:rsidR="004C6B8B" w:rsidRPr="00F5658D">
        <w:rPr>
          <w:rFonts w:ascii="Arial" w:hAnsi="Arial" w:cs="Arial"/>
        </w:rPr>
        <w:t>se factors have</w:t>
      </w:r>
      <w:r w:rsidRPr="00F5658D">
        <w:rPr>
          <w:rFonts w:ascii="Arial" w:hAnsi="Arial" w:cs="Arial"/>
        </w:rPr>
        <w:t xml:space="preserve"> boost</w:t>
      </w:r>
      <w:r w:rsidR="004C6B8B" w:rsidRPr="00F5658D">
        <w:rPr>
          <w:rFonts w:ascii="Arial" w:hAnsi="Arial" w:cs="Arial"/>
        </w:rPr>
        <w:t>ed</w:t>
      </w:r>
      <w:r w:rsidRPr="00F5658D">
        <w:rPr>
          <w:rFonts w:ascii="Arial" w:hAnsi="Arial" w:cs="Arial"/>
        </w:rPr>
        <w:t xml:space="preserve"> consumer confidence</w:t>
      </w:r>
      <w:r w:rsidR="004C6B8B" w:rsidRPr="00F5658D">
        <w:rPr>
          <w:rFonts w:ascii="Arial" w:hAnsi="Arial" w:cs="Arial"/>
        </w:rPr>
        <w:t>,</w:t>
      </w:r>
      <w:r w:rsidRPr="00F5658D">
        <w:rPr>
          <w:rFonts w:ascii="Arial" w:hAnsi="Arial" w:cs="Arial"/>
        </w:rPr>
        <w:t xml:space="preserve"> help</w:t>
      </w:r>
      <w:r w:rsidR="004C6B8B" w:rsidRPr="00F5658D">
        <w:rPr>
          <w:rFonts w:ascii="Arial" w:hAnsi="Arial" w:cs="Arial"/>
        </w:rPr>
        <w:t>ing to</w:t>
      </w:r>
      <w:r w:rsidRPr="00F5658D">
        <w:rPr>
          <w:rFonts w:ascii="Arial" w:hAnsi="Arial" w:cs="Arial"/>
        </w:rPr>
        <w:t xml:space="preserve"> underpin </w:t>
      </w:r>
      <w:r w:rsidR="004C6B8B" w:rsidRPr="00F5658D">
        <w:rPr>
          <w:rFonts w:ascii="Arial" w:hAnsi="Arial" w:cs="Arial"/>
        </w:rPr>
        <w:t xml:space="preserve">retail </w:t>
      </w:r>
      <w:r w:rsidRPr="00F5658D">
        <w:rPr>
          <w:rFonts w:ascii="Arial" w:hAnsi="Arial" w:cs="Arial"/>
        </w:rPr>
        <w:t xml:space="preserve">spending </w:t>
      </w:r>
      <w:r w:rsidR="004C6B8B" w:rsidRPr="00F5658D">
        <w:rPr>
          <w:rFonts w:ascii="Arial" w:hAnsi="Arial" w:cs="Arial"/>
        </w:rPr>
        <w:t>and hence GDP</w:t>
      </w:r>
      <w:r w:rsidRPr="00F5658D">
        <w:rPr>
          <w:rFonts w:ascii="Arial" w:hAnsi="Arial" w:cs="Arial"/>
        </w:rPr>
        <w:t xml:space="preserve"> growth, which </w:t>
      </w:r>
      <w:r w:rsidR="004C6B8B" w:rsidRPr="00F5658D">
        <w:rPr>
          <w:rFonts w:ascii="Arial" w:hAnsi="Arial" w:cs="Arial"/>
        </w:rPr>
        <w:t xml:space="preserve">was an encouraging 2.3% a year in the third quarter of </w:t>
      </w:r>
      <w:r w:rsidRPr="00F5658D">
        <w:rPr>
          <w:rFonts w:ascii="Arial" w:hAnsi="Arial" w:cs="Arial"/>
        </w:rPr>
        <w:t>2015</w:t>
      </w:r>
      <w:r w:rsidR="004C6B8B" w:rsidRPr="00F5658D">
        <w:rPr>
          <w:rFonts w:ascii="Arial" w:hAnsi="Arial" w:cs="Arial"/>
        </w:rPr>
        <w:t>.</w:t>
      </w:r>
      <w:r w:rsidRPr="00F5658D">
        <w:rPr>
          <w:rFonts w:ascii="Arial" w:hAnsi="Arial" w:cs="Arial"/>
        </w:rPr>
        <w:t xml:space="preserve"> Although speeches by the Bank of England’s Monetary Policy Committee (MPC) members sent signals that some were willing to countenance higher interest rates, the MPC held policy rates at 0.5% for the 81st consecutive month at its meeting in November</w:t>
      </w:r>
      <w:r w:rsidR="004C6B8B" w:rsidRPr="00F5658D">
        <w:rPr>
          <w:rFonts w:ascii="Arial" w:hAnsi="Arial" w:cs="Arial"/>
        </w:rPr>
        <w:t xml:space="preserve"> 2015</w:t>
      </w:r>
      <w:r w:rsidR="004B2544" w:rsidRPr="00F5658D">
        <w:rPr>
          <w:rFonts w:ascii="Arial" w:hAnsi="Arial" w:cs="Arial"/>
        </w:rPr>
        <w:t>. Q</w:t>
      </w:r>
      <w:r w:rsidR="004C6B8B" w:rsidRPr="00F5658D">
        <w:rPr>
          <w:rFonts w:ascii="Arial" w:hAnsi="Arial" w:cs="Arial"/>
        </w:rPr>
        <w:t xml:space="preserve">uantitative easing (QE) </w:t>
      </w:r>
      <w:r w:rsidR="004B2544" w:rsidRPr="00F5658D">
        <w:rPr>
          <w:rFonts w:ascii="Arial" w:hAnsi="Arial" w:cs="Arial"/>
        </w:rPr>
        <w:t>has been</w:t>
      </w:r>
      <w:r w:rsidR="00903ABA" w:rsidRPr="00F5658D">
        <w:rPr>
          <w:rFonts w:ascii="Arial" w:hAnsi="Arial" w:cs="Arial"/>
        </w:rPr>
        <w:t xml:space="preserve"> maintained at £375bn</w:t>
      </w:r>
      <w:r w:rsidR="004B2544" w:rsidRPr="00F5658D">
        <w:rPr>
          <w:rFonts w:ascii="Arial" w:hAnsi="Arial" w:cs="Arial"/>
        </w:rPr>
        <w:t xml:space="preserve"> since July 2012.</w:t>
      </w:r>
    </w:p>
    <w:p w:rsidR="00B357B3" w:rsidRPr="00F5658D" w:rsidRDefault="00B357B3" w:rsidP="00B357B3">
      <w:pPr>
        <w:pStyle w:val="ListParagraph"/>
        <w:ind w:left="0"/>
        <w:contextualSpacing w:val="0"/>
        <w:jc w:val="both"/>
        <w:rPr>
          <w:rFonts w:ascii="Arial" w:hAnsi="Arial" w:cs="Arial"/>
        </w:rPr>
      </w:pPr>
      <w:r w:rsidRPr="00F5658D">
        <w:rPr>
          <w:rFonts w:ascii="Arial" w:hAnsi="Arial" w:cs="Arial"/>
        </w:rPr>
        <w:t xml:space="preserve">The outcome of the UK general election, </w:t>
      </w:r>
      <w:r w:rsidR="004B2544" w:rsidRPr="00F5658D">
        <w:rPr>
          <w:rFonts w:ascii="Arial" w:hAnsi="Arial" w:cs="Arial"/>
        </w:rPr>
        <w:t xml:space="preserve">which was </w:t>
      </w:r>
      <w:r w:rsidRPr="00F5658D">
        <w:rPr>
          <w:rFonts w:ascii="Arial" w:hAnsi="Arial" w:cs="Arial"/>
        </w:rPr>
        <w:t>largely fought over the parties’ approach to dealing with the deficit</w:t>
      </w:r>
      <w:r w:rsidR="00982073" w:rsidRPr="00F5658D">
        <w:rPr>
          <w:rFonts w:ascii="Arial" w:hAnsi="Arial" w:cs="Arial"/>
        </w:rPr>
        <w:t xml:space="preserve"> in the public finances,</w:t>
      </w:r>
      <w:r w:rsidRPr="00F5658D">
        <w:rPr>
          <w:rFonts w:ascii="Arial" w:hAnsi="Arial" w:cs="Arial"/>
        </w:rPr>
        <w:t xml:space="preserve"> saw some big shifts in the political landscape and put the key issue of the UK’s relationship with the EU at the heart of future politics.</w:t>
      </w:r>
      <w:r w:rsidR="004C6B8B" w:rsidRPr="00F5658D">
        <w:rPr>
          <w:rFonts w:ascii="Arial" w:hAnsi="Arial" w:cs="Arial"/>
        </w:rPr>
        <w:t xml:space="preserve"> Uncertainty over the outcome </w:t>
      </w:r>
      <w:r w:rsidR="00C57258" w:rsidRPr="00F5658D">
        <w:rPr>
          <w:rFonts w:ascii="Arial" w:hAnsi="Arial" w:cs="Arial"/>
        </w:rPr>
        <w:t xml:space="preserve">of the forthcoming referendum </w:t>
      </w:r>
      <w:r w:rsidR="004C6B8B" w:rsidRPr="00F5658D">
        <w:rPr>
          <w:rFonts w:ascii="Arial" w:hAnsi="Arial" w:cs="Arial"/>
        </w:rPr>
        <w:t>could put downward pressure on UK GDP growth and interest rates.</w:t>
      </w:r>
    </w:p>
    <w:p w:rsidR="006D380E" w:rsidRDefault="00B357B3" w:rsidP="00B357B3">
      <w:pPr>
        <w:pStyle w:val="ListParagraph"/>
        <w:ind w:left="0"/>
        <w:contextualSpacing w:val="0"/>
        <w:jc w:val="both"/>
        <w:rPr>
          <w:rFonts w:ascii="Arial" w:hAnsi="Arial" w:cs="Arial"/>
        </w:rPr>
      </w:pPr>
      <w:r w:rsidRPr="00F5658D">
        <w:rPr>
          <w:rFonts w:ascii="Arial" w:hAnsi="Arial" w:cs="Arial"/>
        </w:rPr>
        <w:t>China's growth has slowed and its economy is performing below expectations, reduc</w:t>
      </w:r>
      <w:r w:rsidR="004C6B8B" w:rsidRPr="00F5658D">
        <w:rPr>
          <w:rFonts w:ascii="Arial" w:hAnsi="Arial" w:cs="Arial"/>
        </w:rPr>
        <w:t>ing</w:t>
      </w:r>
      <w:r w:rsidRPr="00F5658D">
        <w:rPr>
          <w:rFonts w:ascii="Arial" w:hAnsi="Arial" w:cs="Arial"/>
        </w:rPr>
        <w:t xml:space="preserve"> </w:t>
      </w:r>
      <w:r w:rsidR="00D7189B" w:rsidRPr="00F5658D">
        <w:rPr>
          <w:rFonts w:ascii="Arial" w:hAnsi="Arial" w:cs="Arial"/>
        </w:rPr>
        <w:t xml:space="preserve">global </w:t>
      </w:r>
      <w:r w:rsidRPr="00F5658D">
        <w:rPr>
          <w:rFonts w:ascii="Arial" w:hAnsi="Arial" w:cs="Arial"/>
        </w:rPr>
        <w:t>demand for commodities and contribut</w:t>
      </w:r>
      <w:r w:rsidR="004C6B8B" w:rsidRPr="00F5658D">
        <w:rPr>
          <w:rFonts w:ascii="Arial" w:hAnsi="Arial" w:cs="Arial"/>
        </w:rPr>
        <w:t>ing</w:t>
      </w:r>
      <w:r w:rsidRPr="00F5658D">
        <w:rPr>
          <w:rFonts w:ascii="Arial" w:hAnsi="Arial" w:cs="Arial"/>
        </w:rPr>
        <w:t xml:space="preserve"> to emerging market weakness. US domestic growth </w:t>
      </w:r>
      <w:r w:rsidR="004C6B8B" w:rsidRPr="00F5658D">
        <w:rPr>
          <w:rFonts w:ascii="Arial" w:hAnsi="Arial" w:cs="Arial"/>
        </w:rPr>
        <w:lastRenderedPageBreak/>
        <w:t xml:space="preserve">has </w:t>
      </w:r>
      <w:r w:rsidRPr="00F5658D">
        <w:rPr>
          <w:rFonts w:ascii="Arial" w:hAnsi="Arial" w:cs="Arial"/>
        </w:rPr>
        <w:t xml:space="preserve">accelerated but the globally sensitive sectors of the US economy </w:t>
      </w:r>
      <w:r w:rsidR="004C6B8B" w:rsidRPr="00F5658D">
        <w:rPr>
          <w:rFonts w:ascii="Arial" w:hAnsi="Arial" w:cs="Arial"/>
        </w:rPr>
        <w:t xml:space="preserve">have </w:t>
      </w:r>
      <w:r w:rsidRPr="00F5658D">
        <w:rPr>
          <w:rFonts w:ascii="Arial" w:hAnsi="Arial" w:cs="Arial"/>
        </w:rPr>
        <w:t>slowed. Strong US labour market data and other economic indicators however suggest recent global turbulence has not knocked the American recovery off course.</w:t>
      </w:r>
      <w:r w:rsidR="00982073" w:rsidRPr="00F5658D">
        <w:rPr>
          <w:rFonts w:ascii="Arial" w:hAnsi="Arial" w:cs="Arial"/>
        </w:rPr>
        <w:t xml:space="preserve"> </w:t>
      </w:r>
      <w:r w:rsidRPr="00F5658D">
        <w:rPr>
          <w:rFonts w:ascii="Arial" w:hAnsi="Arial" w:cs="Arial"/>
        </w:rPr>
        <w:t xml:space="preserve">The Federal Reserve did not raise policy rates at its meetings in October and </w:t>
      </w:r>
      <w:r w:rsidR="00F5658D" w:rsidRPr="00F5658D">
        <w:rPr>
          <w:rFonts w:ascii="Arial" w:hAnsi="Arial" w:cs="Arial"/>
        </w:rPr>
        <w:t>November, but</w:t>
      </w:r>
      <w:r w:rsidR="00F5658D">
        <w:rPr>
          <w:rFonts w:ascii="Arial" w:hAnsi="Arial" w:cs="Arial"/>
        </w:rPr>
        <w:t xml:space="preserve"> </w:t>
      </w:r>
      <w:r w:rsidR="00D551D5" w:rsidRPr="00F5658D">
        <w:rPr>
          <w:rFonts w:ascii="Arial" w:hAnsi="Arial" w:cs="Arial"/>
        </w:rPr>
        <w:t>in December 2015</w:t>
      </w:r>
      <w:r w:rsidR="00F5658D" w:rsidRPr="00F5658D">
        <w:rPr>
          <w:rFonts w:ascii="Arial" w:hAnsi="Arial" w:cs="Arial"/>
        </w:rPr>
        <w:t xml:space="preserve"> raised</w:t>
      </w:r>
      <w:r w:rsidR="00F5658D">
        <w:rPr>
          <w:rFonts w:ascii="Arial" w:hAnsi="Arial" w:cs="Arial"/>
        </w:rPr>
        <w:t xml:space="preserve"> the interest</w:t>
      </w:r>
      <w:r w:rsidR="00F5658D" w:rsidRPr="00F5658D">
        <w:rPr>
          <w:rFonts w:ascii="Arial" w:hAnsi="Arial" w:cs="Arial"/>
        </w:rPr>
        <w:t xml:space="preserve"> rate by</w:t>
      </w:r>
      <w:r w:rsidR="00F5658D" w:rsidRPr="00F5658D">
        <w:rPr>
          <w:rFonts w:ascii="Arial" w:hAnsi="Arial" w:cs="Arial"/>
          <w:b/>
        </w:rPr>
        <w:t xml:space="preserve"> ¼</w:t>
      </w:r>
      <w:r w:rsidR="00962A72" w:rsidRPr="00F5658D">
        <w:rPr>
          <w:rFonts w:ascii="Arial" w:hAnsi="Arial" w:cs="Arial"/>
          <w:b/>
        </w:rPr>
        <w:t>%</w:t>
      </w:r>
      <w:r w:rsidR="00962A72" w:rsidRPr="00F5658D">
        <w:rPr>
          <w:rFonts w:ascii="Arial" w:hAnsi="Arial" w:cs="Arial"/>
        </w:rPr>
        <w:t xml:space="preserve">. </w:t>
      </w:r>
      <w:r w:rsidRPr="00F5658D">
        <w:rPr>
          <w:rFonts w:ascii="Arial" w:hAnsi="Arial" w:cs="Arial"/>
        </w:rPr>
        <w:t>In contrast, the European Central Bank finally embarked on QE in 2015 to counter the perils of deflation.</w:t>
      </w:r>
    </w:p>
    <w:p w:rsidR="00F5658D" w:rsidRPr="00F5658D" w:rsidRDefault="00F5658D" w:rsidP="00B357B3">
      <w:pPr>
        <w:pStyle w:val="ListParagraph"/>
        <w:ind w:left="0"/>
        <w:contextualSpacing w:val="0"/>
        <w:jc w:val="both"/>
        <w:rPr>
          <w:rFonts w:ascii="Arial" w:hAnsi="Arial" w:cs="Arial"/>
        </w:rPr>
      </w:pPr>
    </w:p>
    <w:p w:rsidR="00F5658D" w:rsidRDefault="00C845A7" w:rsidP="004C6B8B">
      <w:pPr>
        <w:pStyle w:val="ListParagraph"/>
        <w:ind w:left="0"/>
        <w:contextualSpacing w:val="0"/>
        <w:jc w:val="both"/>
        <w:rPr>
          <w:rFonts w:ascii="Arial" w:hAnsi="Arial" w:cs="Arial"/>
        </w:rPr>
      </w:pPr>
      <w:r w:rsidRPr="00F5658D">
        <w:rPr>
          <w:rFonts w:ascii="Arial" w:hAnsi="Arial" w:cs="Arial"/>
          <w:b/>
        </w:rPr>
        <w:t xml:space="preserve">Credit </w:t>
      </w:r>
      <w:r w:rsidR="003E6FF7" w:rsidRPr="00F5658D">
        <w:rPr>
          <w:rFonts w:ascii="Arial" w:hAnsi="Arial" w:cs="Arial"/>
          <w:b/>
        </w:rPr>
        <w:t>outlook:</w:t>
      </w:r>
      <w:r w:rsidRPr="00F5658D">
        <w:rPr>
          <w:rFonts w:ascii="Arial" w:hAnsi="Arial" w:cs="Arial"/>
        </w:rPr>
        <w:t xml:space="preserve"> </w:t>
      </w:r>
    </w:p>
    <w:p w:rsidR="00982073" w:rsidRPr="00F5658D" w:rsidRDefault="00982073" w:rsidP="004C6B8B">
      <w:pPr>
        <w:pStyle w:val="ListParagraph"/>
        <w:ind w:left="0"/>
        <w:contextualSpacing w:val="0"/>
        <w:jc w:val="both"/>
        <w:rPr>
          <w:rFonts w:ascii="Arial" w:hAnsi="Arial" w:cs="Arial"/>
        </w:rPr>
      </w:pPr>
      <w:r w:rsidRPr="00F5658D">
        <w:rPr>
          <w:rFonts w:ascii="Arial" w:hAnsi="Arial" w:cs="Arial"/>
        </w:rPr>
        <w:t>The varying fortunes of different parts of the global economy are reflected in market indicators of credit risk.</w:t>
      </w:r>
      <w:r w:rsidR="00063F3A" w:rsidRPr="00F5658D">
        <w:rPr>
          <w:rFonts w:ascii="Arial" w:hAnsi="Arial" w:cs="Arial"/>
        </w:rPr>
        <w:t xml:space="preserve"> </w:t>
      </w:r>
      <w:r w:rsidR="00D7189B" w:rsidRPr="00F5658D">
        <w:rPr>
          <w:rFonts w:ascii="Arial" w:hAnsi="Arial" w:cs="Arial"/>
        </w:rPr>
        <w:t xml:space="preserve">UK </w:t>
      </w:r>
      <w:r w:rsidR="00063F3A" w:rsidRPr="00F5658D">
        <w:rPr>
          <w:rFonts w:ascii="Arial" w:hAnsi="Arial" w:cs="Arial"/>
        </w:rPr>
        <w:t>Banks operating in the Far East and parts of mainland Europe have seen their perceived risk increase, while those with a more domestic focus continue to show improvement. The sale of most of the government’s stake in Lloyds and the</w:t>
      </w:r>
      <w:r w:rsidR="00F5658D">
        <w:rPr>
          <w:rFonts w:ascii="Arial" w:hAnsi="Arial" w:cs="Arial"/>
        </w:rPr>
        <w:t xml:space="preserve"> proposed</w:t>
      </w:r>
      <w:r w:rsidR="00063F3A" w:rsidRPr="00F5658D">
        <w:rPr>
          <w:rFonts w:ascii="Arial" w:hAnsi="Arial" w:cs="Arial"/>
        </w:rPr>
        <w:t xml:space="preserve"> first sale of its shares in RBS </w:t>
      </w:r>
      <w:r w:rsidR="00137997" w:rsidRPr="00F5658D">
        <w:rPr>
          <w:rFonts w:ascii="Arial" w:hAnsi="Arial" w:cs="Arial"/>
        </w:rPr>
        <w:t>have</w:t>
      </w:r>
      <w:r w:rsidR="00063F3A" w:rsidRPr="00F5658D">
        <w:rPr>
          <w:rFonts w:ascii="Arial" w:hAnsi="Arial" w:cs="Arial"/>
        </w:rPr>
        <w:t xml:space="preserve"> generally </w:t>
      </w:r>
      <w:r w:rsidR="00137997" w:rsidRPr="00F5658D">
        <w:rPr>
          <w:rFonts w:ascii="Arial" w:hAnsi="Arial" w:cs="Arial"/>
        </w:rPr>
        <w:t xml:space="preserve">been </w:t>
      </w:r>
      <w:r w:rsidR="00063F3A" w:rsidRPr="00F5658D">
        <w:rPr>
          <w:rFonts w:ascii="Arial" w:hAnsi="Arial" w:cs="Arial"/>
        </w:rPr>
        <w:t>seen as credit positive.</w:t>
      </w:r>
    </w:p>
    <w:p w:rsidR="003E6FF7" w:rsidRDefault="0037442B" w:rsidP="0037442B">
      <w:pPr>
        <w:pStyle w:val="ListParagraph"/>
        <w:ind w:left="0"/>
        <w:contextualSpacing w:val="0"/>
        <w:jc w:val="both"/>
        <w:rPr>
          <w:rFonts w:ascii="Arial" w:hAnsi="Arial" w:cs="Arial"/>
        </w:rPr>
      </w:pPr>
      <w:r w:rsidRPr="00F5658D">
        <w:rPr>
          <w:rFonts w:ascii="Arial" w:hAnsi="Arial" w:cs="Arial"/>
        </w:rPr>
        <w:t xml:space="preserve">Bail-in legislation, which ensures that large investors including local authorities will rescue failing banks instead of taxpayers in the future, has now been fully implemented in the UK, USA and Germany. The </w:t>
      </w:r>
      <w:r w:rsidR="004B716C">
        <w:rPr>
          <w:rFonts w:ascii="Arial" w:hAnsi="Arial" w:cs="Arial"/>
        </w:rPr>
        <w:t xml:space="preserve">rest of the European Union </w:t>
      </w:r>
      <w:r w:rsidRPr="00F5658D">
        <w:rPr>
          <w:rFonts w:ascii="Arial" w:hAnsi="Arial" w:cs="Arial"/>
        </w:rPr>
        <w:t>follow</w:t>
      </w:r>
      <w:r w:rsidR="00F5658D">
        <w:rPr>
          <w:rFonts w:ascii="Arial" w:hAnsi="Arial" w:cs="Arial"/>
        </w:rPr>
        <w:t>ed</w:t>
      </w:r>
      <w:r w:rsidR="004B716C">
        <w:rPr>
          <w:rFonts w:ascii="Arial" w:hAnsi="Arial" w:cs="Arial"/>
        </w:rPr>
        <w:t xml:space="preserve"> </w:t>
      </w:r>
      <w:r w:rsidRPr="00F5658D">
        <w:rPr>
          <w:rFonts w:ascii="Arial" w:hAnsi="Arial" w:cs="Arial"/>
        </w:rPr>
        <w:t xml:space="preserve">in January 2016, while Australia, Canada and Switzerland are well advanced with their own plans. Meanwhile, changes to the UK </w:t>
      </w:r>
      <w:r w:rsidR="000B6FB1" w:rsidRPr="00F5658D">
        <w:rPr>
          <w:rFonts w:ascii="Arial" w:hAnsi="Arial" w:cs="Arial"/>
        </w:rPr>
        <w:t>Financial Services Compensation Schem</w:t>
      </w:r>
      <w:r w:rsidRPr="00F5658D">
        <w:rPr>
          <w:rFonts w:ascii="Arial" w:hAnsi="Arial" w:cs="Arial"/>
        </w:rPr>
        <w:t>e and similar European schemes in July 2015 mean that most private sector investors are now partially or fully exempt from contributing to a bail-in</w:t>
      </w:r>
      <w:r w:rsidR="000A2E12" w:rsidRPr="00F5658D">
        <w:rPr>
          <w:rFonts w:ascii="Arial" w:hAnsi="Arial" w:cs="Arial"/>
        </w:rPr>
        <w:t>. The credit risk associated with making unsecured bank deposits has therefore increased relative to the risk of other investment options available to the Authority; returns from cash deposits however remain stubbornly low.</w:t>
      </w:r>
    </w:p>
    <w:p w:rsidR="00F5658D" w:rsidRPr="00F5658D" w:rsidRDefault="00F5658D" w:rsidP="0037442B">
      <w:pPr>
        <w:pStyle w:val="ListParagraph"/>
        <w:ind w:left="0"/>
        <w:contextualSpacing w:val="0"/>
        <w:jc w:val="both"/>
        <w:rPr>
          <w:rFonts w:ascii="Arial" w:hAnsi="Arial" w:cs="Arial"/>
        </w:rPr>
      </w:pPr>
    </w:p>
    <w:p w:rsidR="00F5658D" w:rsidRDefault="004363C9" w:rsidP="009268ED">
      <w:pPr>
        <w:pStyle w:val="ListParagraph"/>
        <w:ind w:left="0"/>
        <w:contextualSpacing w:val="0"/>
        <w:jc w:val="both"/>
        <w:rPr>
          <w:rFonts w:ascii="Arial" w:hAnsi="Arial" w:cs="Arial"/>
        </w:rPr>
      </w:pPr>
      <w:r w:rsidRPr="00F5658D">
        <w:rPr>
          <w:rFonts w:ascii="Arial" w:hAnsi="Arial" w:cs="Arial"/>
          <w:b/>
        </w:rPr>
        <w:t>Interest rate forecast</w:t>
      </w:r>
      <w:r w:rsidR="00C92F60" w:rsidRPr="00F5658D">
        <w:rPr>
          <w:rFonts w:ascii="Arial" w:hAnsi="Arial" w:cs="Arial"/>
          <w:b/>
        </w:rPr>
        <w:t>:</w:t>
      </w:r>
      <w:r w:rsidR="00C92F60" w:rsidRPr="00F5658D">
        <w:rPr>
          <w:rFonts w:ascii="Arial" w:hAnsi="Arial" w:cs="Arial"/>
        </w:rPr>
        <w:t xml:space="preserve"> </w:t>
      </w:r>
    </w:p>
    <w:p w:rsidR="00F857EB" w:rsidRPr="00F5658D" w:rsidRDefault="00F857EB" w:rsidP="009268ED">
      <w:pPr>
        <w:pStyle w:val="ListParagraph"/>
        <w:ind w:left="0"/>
        <w:contextualSpacing w:val="0"/>
        <w:jc w:val="both"/>
        <w:rPr>
          <w:rFonts w:ascii="Arial" w:hAnsi="Arial" w:cs="Arial"/>
        </w:rPr>
      </w:pPr>
      <w:r w:rsidRPr="00F5658D">
        <w:rPr>
          <w:rFonts w:ascii="Arial" w:hAnsi="Arial" w:cs="Arial"/>
        </w:rPr>
        <w:t xml:space="preserve">The Authority’s treasury advisor </w:t>
      </w:r>
      <w:r w:rsidR="008358D7" w:rsidRPr="00F5658D">
        <w:rPr>
          <w:rFonts w:ascii="Arial" w:hAnsi="Arial" w:cs="Arial"/>
        </w:rPr>
        <w:t xml:space="preserve">Arlingclose projects the first </w:t>
      </w:r>
      <w:r w:rsidR="007C3CFF" w:rsidRPr="00F5658D">
        <w:rPr>
          <w:rFonts w:ascii="Arial" w:hAnsi="Arial" w:cs="Arial"/>
        </w:rPr>
        <w:t>0.25% increase</w:t>
      </w:r>
      <w:r w:rsidR="008358D7" w:rsidRPr="00F5658D">
        <w:rPr>
          <w:rFonts w:ascii="Arial" w:hAnsi="Arial" w:cs="Arial"/>
        </w:rPr>
        <w:t xml:space="preserve"> in </w:t>
      </w:r>
      <w:r w:rsidRPr="00F5658D">
        <w:rPr>
          <w:rFonts w:ascii="Arial" w:hAnsi="Arial" w:cs="Arial"/>
        </w:rPr>
        <w:t xml:space="preserve">UK </w:t>
      </w:r>
      <w:r w:rsidR="008358D7" w:rsidRPr="00F5658D">
        <w:rPr>
          <w:rFonts w:ascii="Arial" w:hAnsi="Arial" w:cs="Arial"/>
        </w:rPr>
        <w:t xml:space="preserve">Bank Rate in </w:t>
      </w:r>
      <w:r w:rsidRPr="00F5658D">
        <w:rPr>
          <w:rFonts w:ascii="Arial" w:hAnsi="Arial" w:cs="Arial"/>
        </w:rPr>
        <w:t>the third quarter of</w:t>
      </w:r>
      <w:r w:rsidR="007C3CFF" w:rsidRPr="00F5658D">
        <w:rPr>
          <w:rFonts w:ascii="Arial" w:hAnsi="Arial" w:cs="Arial"/>
        </w:rPr>
        <w:t xml:space="preserve"> 2016, rising by 0.5% a year</w:t>
      </w:r>
      <w:r w:rsidR="008358D7" w:rsidRPr="00F5658D">
        <w:rPr>
          <w:rFonts w:ascii="Arial" w:hAnsi="Arial" w:cs="Arial"/>
        </w:rPr>
        <w:t xml:space="preserve"> </w:t>
      </w:r>
      <w:r w:rsidRPr="00F5658D">
        <w:rPr>
          <w:rFonts w:ascii="Arial" w:hAnsi="Arial" w:cs="Arial"/>
        </w:rPr>
        <w:t>thereafter, finally settling between 2% and 3% in several years’ time</w:t>
      </w:r>
      <w:r w:rsidR="007C3CFF" w:rsidRPr="00F5658D">
        <w:rPr>
          <w:rFonts w:ascii="Arial" w:hAnsi="Arial" w:cs="Arial"/>
        </w:rPr>
        <w:t>. Persistently low inflation, subdued global growth and potential concerns over the UK’s position in Europe mean that the risks to this forecast are weighted towards the downside.</w:t>
      </w:r>
    </w:p>
    <w:p w:rsidR="00A27605" w:rsidRPr="00F5658D" w:rsidRDefault="00583C7A" w:rsidP="009268ED">
      <w:pPr>
        <w:pStyle w:val="ListParagraph"/>
        <w:ind w:left="0"/>
        <w:contextualSpacing w:val="0"/>
        <w:jc w:val="both"/>
        <w:rPr>
          <w:rFonts w:ascii="Arial" w:hAnsi="Arial" w:cs="Arial"/>
        </w:rPr>
      </w:pPr>
      <w:r w:rsidRPr="00F5658D">
        <w:rPr>
          <w:rFonts w:ascii="Arial" w:hAnsi="Arial" w:cs="Arial"/>
        </w:rPr>
        <w:t>A shallow upward path for medium term gilt yields is forecast, as continuing concerns about the Eurozone, emerging markets</w:t>
      </w:r>
      <w:r w:rsidR="00D7189B" w:rsidRPr="00F5658D">
        <w:rPr>
          <w:rFonts w:ascii="Arial" w:hAnsi="Arial" w:cs="Arial"/>
        </w:rPr>
        <w:t xml:space="preserve"> and other geo-political events</w:t>
      </w:r>
      <w:r w:rsidRPr="00F5658D">
        <w:rPr>
          <w:rFonts w:ascii="Arial" w:hAnsi="Arial" w:cs="Arial"/>
        </w:rPr>
        <w:t xml:space="preserve"> weigh on risk appetite, while inflation expectations remain subdued. </w:t>
      </w:r>
      <w:r w:rsidR="007C3CFF" w:rsidRPr="00F5658D">
        <w:rPr>
          <w:rFonts w:ascii="Arial" w:hAnsi="Arial" w:cs="Arial"/>
        </w:rPr>
        <w:t xml:space="preserve">Arlingclose projects the 10 year gilt yield to rise from </w:t>
      </w:r>
      <w:r w:rsidR="00D7189B" w:rsidRPr="00F5658D">
        <w:rPr>
          <w:rFonts w:ascii="Arial" w:hAnsi="Arial" w:cs="Arial"/>
        </w:rPr>
        <w:t>its</w:t>
      </w:r>
      <w:r w:rsidR="007C3CFF" w:rsidRPr="00F5658D">
        <w:rPr>
          <w:rFonts w:ascii="Arial" w:hAnsi="Arial" w:cs="Arial"/>
        </w:rPr>
        <w:t xml:space="preserve"> current 2.0% level by around 0.3% a year. </w:t>
      </w:r>
      <w:r w:rsidRPr="00F5658D">
        <w:rPr>
          <w:rFonts w:ascii="Arial" w:hAnsi="Arial" w:cs="Arial"/>
        </w:rPr>
        <w:t>The uncertainties surrounding the timing of UK and US interest rate rises are likely to prompt short-term volatility in gilt yields.</w:t>
      </w:r>
    </w:p>
    <w:p w:rsidR="00C845A7" w:rsidRPr="00F5658D" w:rsidRDefault="005D54C6" w:rsidP="00C845A7">
      <w:pPr>
        <w:pStyle w:val="ListParagraph"/>
        <w:ind w:left="0"/>
        <w:contextualSpacing w:val="0"/>
        <w:jc w:val="both"/>
        <w:rPr>
          <w:rFonts w:ascii="Arial" w:hAnsi="Arial" w:cs="Arial"/>
        </w:rPr>
      </w:pPr>
      <w:r w:rsidRPr="00F5658D">
        <w:rPr>
          <w:rFonts w:ascii="Arial" w:hAnsi="Arial" w:cs="Arial"/>
        </w:rPr>
        <w:t>A more detailed</w:t>
      </w:r>
      <w:r w:rsidR="00C845A7" w:rsidRPr="00F5658D">
        <w:rPr>
          <w:rFonts w:ascii="Arial" w:hAnsi="Arial" w:cs="Arial"/>
        </w:rPr>
        <w:t xml:space="preserve"> economic and interes</w:t>
      </w:r>
      <w:r w:rsidR="00604281" w:rsidRPr="00F5658D">
        <w:rPr>
          <w:rFonts w:ascii="Arial" w:hAnsi="Arial" w:cs="Arial"/>
        </w:rPr>
        <w:t xml:space="preserve">t rate forecast provided by </w:t>
      </w:r>
      <w:r w:rsidR="00A61872" w:rsidRPr="00F5658D">
        <w:rPr>
          <w:rFonts w:ascii="Arial" w:hAnsi="Arial" w:cs="Arial"/>
        </w:rPr>
        <w:t>Arlingclose</w:t>
      </w:r>
      <w:r w:rsidR="00C845A7" w:rsidRPr="00F5658D">
        <w:rPr>
          <w:rFonts w:ascii="Arial" w:hAnsi="Arial" w:cs="Arial"/>
        </w:rPr>
        <w:t xml:space="preserve"> is attached at </w:t>
      </w:r>
      <w:r w:rsidR="00C845A7" w:rsidRPr="00F5658D">
        <w:rPr>
          <w:rFonts w:ascii="Arial" w:hAnsi="Arial" w:cs="Arial"/>
          <w:b/>
          <w:i/>
        </w:rPr>
        <w:t>Appendix A</w:t>
      </w:r>
      <w:r w:rsidR="00C845A7" w:rsidRPr="00F5658D">
        <w:rPr>
          <w:rFonts w:ascii="Arial" w:hAnsi="Arial" w:cs="Arial"/>
        </w:rPr>
        <w:t>.</w:t>
      </w:r>
    </w:p>
    <w:p w:rsidR="00C845A7" w:rsidRPr="00670205" w:rsidRDefault="00C845A7" w:rsidP="00C845A7">
      <w:pPr>
        <w:pStyle w:val="ListParagraph"/>
        <w:ind w:left="0"/>
        <w:contextualSpacing w:val="0"/>
        <w:jc w:val="both"/>
        <w:rPr>
          <w:rFonts w:ascii="Arial" w:hAnsi="Arial" w:cs="Arial"/>
        </w:rPr>
      </w:pPr>
      <w:r w:rsidRPr="00F5658D">
        <w:rPr>
          <w:rFonts w:ascii="Arial" w:hAnsi="Arial" w:cs="Arial"/>
        </w:rPr>
        <w:t xml:space="preserve">For the purpose of setting the budget, it has been assumed that new investments will be made at an average rate </w:t>
      </w:r>
      <w:r w:rsidRPr="00670205">
        <w:rPr>
          <w:rFonts w:ascii="Arial" w:hAnsi="Arial" w:cs="Arial"/>
        </w:rPr>
        <w:t xml:space="preserve">of </w:t>
      </w:r>
      <w:r w:rsidR="00670205" w:rsidRPr="00670205">
        <w:rPr>
          <w:rFonts w:ascii="Arial" w:hAnsi="Arial" w:cs="Arial"/>
        </w:rPr>
        <w:t>0.2</w:t>
      </w:r>
      <w:r w:rsidRPr="00670205">
        <w:rPr>
          <w:rFonts w:ascii="Arial" w:hAnsi="Arial" w:cs="Arial"/>
        </w:rPr>
        <w:t>%,</w:t>
      </w:r>
      <w:r w:rsidRPr="00F5658D">
        <w:rPr>
          <w:rFonts w:ascii="Arial" w:hAnsi="Arial" w:cs="Arial"/>
        </w:rPr>
        <w:t xml:space="preserve"> and that new long-term loans will be borrowed at an average rate of </w:t>
      </w:r>
      <w:r w:rsidR="00670205" w:rsidRPr="00670205">
        <w:rPr>
          <w:rFonts w:ascii="Arial" w:hAnsi="Arial" w:cs="Arial"/>
        </w:rPr>
        <w:t>2.7</w:t>
      </w:r>
      <w:r w:rsidR="00243E06" w:rsidRPr="00670205">
        <w:rPr>
          <w:rFonts w:ascii="Arial" w:hAnsi="Arial" w:cs="Arial"/>
        </w:rPr>
        <w:t>%.</w:t>
      </w:r>
    </w:p>
    <w:p w:rsidR="00202E2E" w:rsidRPr="00F5658D" w:rsidRDefault="00202E2E" w:rsidP="009F23E2">
      <w:pPr>
        <w:pStyle w:val="ListParagraph"/>
        <w:ind w:left="0"/>
        <w:contextualSpacing w:val="0"/>
        <w:jc w:val="both"/>
        <w:rPr>
          <w:rFonts w:ascii="Arial" w:hAnsi="Arial" w:cs="Arial"/>
          <w:b/>
          <w:u w:val="single"/>
        </w:rPr>
      </w:pPr>
    </w:p>
    <w:p w:rsidR="004363C9" w:rsidRPr="00F5658D" w:rsidRDefault="003A1A21" w:rsidP="009F23E2">
      <w:pPr>
        <w:pStyle w:val="ListParagraph"/>
        <w:ind w:left="0"/>
        <w:contextualSpacing w:val="0"/>
        <w:jc w:val="both"/>
        <w:rPr>
          <w:rFonts w:ascii="Arial" w:hAnsi="Arial" w:cs="Arial"/>
          <w:b/>
          <w:u w:val="single"/>
        </w:rPr>
      </w:pPr>
      <w:r w:rsidRPr="00F5658D">
        <w:rPr>
          <w:rFonts w:ascii="Arial" w:hAnsi="Arial" w:cs="Arial"/>
          <w:b/>
          <w:u w:val="single"/>
        </w:rPr>
        <w:t>Local</w:t>
      </w:r>
      <w:r w:rsidR="004363C9" w:rsidRPr="00F5658D">
        <w:rPr>
          <w:rFonts w:ascii="Arial" w:hAnsi="Arial" w:cs="Arial"/>
          <w:b/>
          <w:u w:val="single"/>
        </w:rPr>
        <w:t xml:space="preserve"> Context</w:t>
      </w:r>
    </w:p>
    <w:p w:rsidR="004363C9" w:rsidRPr="00F5658D" w:rsidRDefault="004363C9" w:rsidP="009F23E2">
      <w:pPr>
        <w:jc w:val="both"/>
        <w:rPr>
          <w:rFonts w:ascii="Arial" w:hAnsi="Arial" w:cs="Arial"/>
        </w:rPr>
      </w:pPr>
      <w:r w:rsidRPr="00F5658D">
        <w:rPr>
          <w:rFonts w:ascii="Arial" w:hAnsi="Arial" w:cs="Arial"/>
        </w:rPr>
        <w:t>The Authority currently has £</w:t>
      </w:r>
      <w:r w:rsidR="00915B83" w:rsidRPr="00915B83">
        <w:rPr>
          <w:rFonts w:ascii="Arial" w:hAnsi="Arial" w:cs="Arial"/>
        </w:rPr>
        <w:t>51.9</w:t>
      </w:r>
      <w:r w:rsidRPr="00F5658D">
        <w:rPr>
          <w:rFonts w:ascii="Arial" w:hAnsi="Arial" w:cs="Arial"/>
        </w:rPr>
        <w:t xml:space="preserve">m of </w:t>
      </w:r>
      <w:r w:rsidR="009F23E2" w:rsidRPr="00F5658D">
        <w:rPr>
          <w:rFonts w:ascii="Arial" w:hAnsi="Arial" w:cs="Arial"/>
        </w:rPr>
        <w:t>borrowing</w:t>
      </w:r>
      <w:r w:rsidR="00915B83">
        <w:rPr>
          <w:rFonts w:ascii="Arial" w:hAnsi="Arial" w:cs="Arial"/>
        </w:rPr>
        <w:t xml:space="preserve"> (excluding borrowing for severance costs)</w:t>
      </w:r>
      <w:r w:rsidRPr="00F5658D">
        <w:rPr>
          <w:rFonts w:ascii="Arial" w:hAnsi="Arial" w:cs="Arial"/>
        </w:rPr>
        <w:t xml:space="preserve"> and </w:t>
      </w:r>
      <w:r w:rsidR="00243E06" w:rsidRPr="0068690A">
        <w:rPr>
          <w:rFonts w:ascii="Arial" w:hAnsi="Arial" w:cs="Arial"/>
        </w:rPr>
        <w:t>£</w:t>
      </w:r>
      <w:r w:rsidR="0068690A" w:rsidRPr="0068690A">
        <w:rPr>
          <w:rFonts w:ascii="Arial" w:hAnsi="Arial" w:cs="Arial"/>
        </w:rPr>
        <w:t>4.5</w:t>
      </w:r>
      <w:r w:rsidR="00243E06" w:rsidRPr="0068690A">
        <w:rPr>
          <w:rFonts w:ascii="Arial" w:hAnsi="Arial" w:cs="Arial"/>
        </w:rPr>
        <w:t xml:space="preserve">m </w:t>
      </w:r>
      <w:r w:rsidRPr="00F5658D">
        <w:rPr>
          <w:rFonts w:ascii="Arial" w:hAnsi="Arial" w:cs="Arial"/>
        </w:rPr>
        <w:t>of investments</w:t>
      </w:r>
      <w:r w:rsidR="0068690A">
        <w:rPr>
          <w:rFonts w:ascii="Arial" w:hAnsi="Arial" w:cs="Arial"/>
        </w:rPr>
        <w:t xml:space="preserve"> as at 31</w:t>
      </w:r>
      <w:r w:rsidR="0068690A" w:rsidRPr="0068690A">
        <w:rPr>
          <w:rFonts w:ascii="Arial" w:hAnsi="Arial" w:cs="Arial"/>
          <w:vertAlign w:val="superscript"/>
        </w:rPr>
        <w:t>st</w:t>
      </w:r>
      <w:r w:rsidR="0068690A">
        <w:rPr>
          <w:rFonts w:ascii="Arial" w:hAnsi="Arial" w:cs="Arial"/>
        </w:rPr>
        <w:t xml:space="preserve"> January 2016</w:t>
      </w:r>
      <w:r w:rsidRPr="00F5658D">
        <w:rPr>
          <w:rFonts w:ascii="Arial" w:hAnsi="Arial" w:cs="Arial"/>
        </w:rPr>
        <w:t xml:space="preserve">. This is set out in further detail at </w:t>
      </w:r>
      <w:r w:rsidRPr="00F5658D">
        <w:rPr>
          <w:rFonts w:ascii="Arial" w:hAnsi="Arial" w:cs="Arial"/>
          <w:b/>
          <w:i/>
        </w:rPr>
        <w:t xml:space="preserve">Appendix </w:t>
      </w:r>
      <w:r w:rsidR="00C845A7" w:rsidRPr="00F5658D">
        <w:rPr>
          <w:rFonts w:ascii="Arial" w:hAnsi="Arial" w:cs="Arial"/>
          <w:b/>
          <w:i/>
        </w:rPr>
        <w:t>B</w:t>
      </w:r>
      <w:r w:rsidRPr="00F5658D">
        <w:rPr>
          <w:rFonts w:ascii="Arial" w:hAnsi="Arial" w:cs="Arial"/>
        </w:rPr>
        <w:t>.</w:t>
      </w:r>
      <w:r w:rsidR="009F23E2" w:rsidRPr="00F5658D">
        <w:rPr>
          <w:rFonts w:ascii="Arial" w:hAnsi="Arial" w:cs="Arial"/>
        </w:rPr>
        <w:t xml:space="preserve">  Forecast changes in these sums are shown in the balance sheet analysis in table 1 below.</w:t>
      </w:r>
    </w:p>
    <w:p w:rsidR="00F34739" w:rsidRPr="00F5658D" w:rsidRDefault="00F34739" w:rsidP="00C845A7">
      <w:pPr>
        <w:spacing w:after="0"/>
        <w:jc w:val="both"/>
        <w:rPr>
          <w:rFonts w:ascii="Arial" w:hAnsi="Arial" w:cs="Arial"/>
          <w:u w:val="single"/>
        </w:rPr>
      </w:pPr>
      <w:r w:rsidRPr="00F5658D">
        <w:rPr>
          <w:rFonts w:ascii="Arial" w:hAnsi="Arial" w:cs="Arial"/>
          <w:u w:val="single"/>
        </w:rPr>
        <w:t xml:space="preserve">Table 1: Balance Sheet Summary </w:t>
      </w:r>
      <w:r w:rsidR="002A6A8D" w:rsidRPr="00F5658D">
        <w:rPr>
          <w:rFonts w:ascii="Arial" w:hAnsi="Arial" w:cs="Arial"/>
          <w:u w:val="single"/>
        </w:rPr>
        <w:t>and Forecast</w:t>
      </w:r>
    </w:p>
    <w:tbl>
      <w:tblPr>
        <w:tblpPr w:leftFromText="180" w:rightFromText="180" w:vertAnchor="text" w:horzAnchor="margin" w:tblpXSpec="center" w:tblpY="16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46"/>
        <w:gridCol w:w="1146"/>
        <w:gridCol w:w="1147"/>
        <w:gridCol w:w="1146"/>
        <w:gridCol w:w="1147"/>
      </w:tblGrid>
      <w:tr w:rsidR="00703F4A" w:rsidRPr="00F5658D" w:rsidTr="00703F4A">
        <w:tc>
          <w:tcPr>
            <w:tcW w:w="3510" w:type="dxa"/>
            <w:vAlign w:val="center"/>
          </w:tcPr>
          <w:p w:rsidR="00703F4A" w:rsidRPr="00F5658D" w:rsidRDefault="00703F4A" w:rsidP="00703F4A">
            <w:pPr>
              <w:spacing w:after="0"/>
              <w:rPr>
                <w:rFonts w:ascii="Arial" w:eastAsia="Times New Roman" w:hAnsi="Arial" w:cs="Arial"/>
                <w:bCs/>
                <w:lang w:eastAsia="en-GB"/>
              </w:rPr>
            </w:pPr>
          </w:p>
        </w:tc>
        <w:tc>
          <w:tcPr>
            <w:tcW w:w="1146" w:type="dxa"/>
            <w:vAlign w:val="center"/>
          </w:tcPr>
          <w:p w:rsidR="00703F4A" w:rsidRPr="00F5658D" w:rsidRDefault="00BF1D9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31.3.</w:t>
            </w:r>
            <w:r w:rsidR="00703F4A" w:rsidRPr="00F5658D">
              <w:rPr>
                <w:rFonts w:ascii="Arial" w:eastAsia="Times New Roman" w:hAnsi="Arial" w:cs="Arial"/>
                <w:b/>
                <w:bCs/>
                <w:lang w:eastAsia="en-GB"/>
              </w:rPr>
              <w:t>1</w:t>
            </w:r>
            <w:r w:rsidR="002E3175" w:rsidRPr="00F5658D">
              <w:rPr>
                <w:rFonts w:ascii="Arial" w:eastAsia="Times New Roman" w:hAnsi="Arial" w:cs="Arial"/>
                <w:b/>
                <w:bCs/>
                <w:lang w:eastAsia="en-GB"/>
              </w:rPr>
              <w:t>5</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Actual</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£m</w:t>
            </w:r>
          </w:p>
        </w:tc>
        <w:tc>
          <w:tcPr>
            <w:tcW w:w="1146" w:type="dxa"/>
            <w:vAlign w:val="center"/>
          </w:tcPr>
          <w:p w:rsidR="00703F4A" w:rsidRPr="00F5658D" w:rsidRDefault="00BF1D9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31.3.</w:t>
            </w:r>
            <w:r w:rsidR="00703F4A" w:rsidRPr="00F5658D">
              <w:rPr>
                <w:rFonts w:ascii="Arial" w:eastAsia="Times New Roman" w:hAnsi="Arial" w:cs="Arial"/>
                <w:b/>
                <w:bCs/>
                <w:lang w:eastAsia="en-GB"/>
              </w:rPr>
              <w:t>1</w:t>
            </w:r>
            <w:r w:rsidR="002E3175" w:rsidRPr="00F5658D">
              <w:rPr>
                <w:rFonts w:ascii="Arial" w:eastAsia="Times New Roman" w:hAnsi="Arial" w:cs="Arial"/>
                <w:b/>
                <w:bCs/>
                <w:lang w:eastAsia="en-GB"/>
              </w:rPr>
              <w:t>6</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Estimate</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£m</w:t>
            </w:r>
          </w:p>
        </w:tc>
        <w:tc>
          <w:tcPr>
            <w:tcW w:w="1147" w:type="dxa"/>
            <w:vAlign w:val="center"/>
          </w:tcPr>
          <w:p w:rsidR="00703F4A" w:rsidRPr="00F5658D" w:rsidRDefault="00BF1D9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31.3.</w:t>
            </w:r>
            <w:r w:rsidR="00703F4A" w:rsidRPr="00F5658D">
              <w:rPr>
                <w:rFonts w:ascii="Arial" w:eastAsia="Times New Roman" w:hAnsi="Arial" w:cs="Arial"/>
                <w:b/>
                <w:bCs/>
                <w:lang w:eastAsia="en-GB"/>
              </w:rPr>
              <w:t>1</w:t>
            </w:r>
            <w:r w:rsidR="002E3175" w:rsidRPr="00F5658D">
              <w:rPr>
                <w:rFonts w:ascii="Arial" w:eastAsia="Times New Roman" w:hAnsi="Arial" w:cs="Arial"/>
                <w:b/>
                <w:bCs/>
                <w:lang w:eastAsia="en-GB"/>
              </w:rPr>
              <w:t>7</w:t>
            </w:r>
          </w:p>
          <w:p w:rsidR="00703F4A" w:rsidRPr="00F5658D" w:rsidRDefault="002E3175"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Forecast</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£m</w:t>
            </w:r>
          </w:p>
        </w:tc>
        <w:tc>
          <w:tcPr>
            <w:tcW w:w="1146" w:type="dxa"/>
            <w:vAlign w:val="center"/>
          </w:tcPr>
          <w:p w:rsidR="00703F4A" w:rsidRPr="00F5658D" w:rsidRDefault="00BF1D9A" w:rsidP="00BF1D9A">
            <w:pPr>
              <w:spacing w:after="0"/>
              <w:jc w:val="center"/>
              <w:rPr>
                <w:rFonts w:ascii="Arial" w:eastAsia="Times New Roman" w:hAnsi="Arial" w:cs="Arial"/>
                <w:b/>
                <w:bCs/>
                <w:lang w:eastAsia="en-GB"/>
              </w:rPr>
            </w:pPr>
            <w:r w:rsidRPr="00F5658D">
              <w:rPr>
                <w:rFonts w:ascii="Arial" w:eastAsia="Times New Roman" w:hAnsi="Arial" w:cs="Arial"/>
                <w:b/>
                <w:bCs/>
                <w:lang w:eastAsia="en-GB"/>
              </w:rPr>
              <w:t>31.3.</w:t>
            </w:r>
            <w:r w:rsidR="00703F4A" w:rsidRPr="00F5658D">
              <w:rPr>
                <w:rFonts w:ascii="Arial" w:eastAsia="Times New Roman" w:hAnsi="Arial" w:cs="Arial"/>
                <w:b/>
                <w:bCs/>
                <w:lang w:eastAsia="en-GB"/>
              </w:rPr>
              <w:t>1</w:t>
            </w:r>
            <w:r w:rsidR="002E3175" w:rsidRPr="00F5658D">
              <w:rPr>
                <w:rFonts w:ascii="Arial" w:eastAsia="Times New Roman" w:hAnsi="Arial" w:cs="Arial"/>
                <w:b/>
                <w:bCs/>
                <w:lang w:eastAsia="en-GB"/>
              </w:rPr>
              <w:t>8</w:t>
            </w:r>
          </w:p>
          <w:p w:rsidR="00703F4A" w:rsidRPr="00F5658D" w:rsidRDefault="002E3175"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Forecast</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£m</w:t>
            </w:r>
          </w:p>
        </w:tc>
        <w:tc>
          <w:tcPr>
            <w:tcW w:w="1147" w:type="dxa"/>
            <w:vAlign w:val="center"/>
          </w:tcPr>
          <w:p w:rsidR="00703F4A" w:rsidRPr="00F5658D" w:rsidRDefault="00BF1D9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31.3.</w:t>
            </w:r>
            <w:r w:rsidR="00703F4A" w:rsidRPr="00F5658D">
              <w:rPr>
                <w:rFonts w:ascii="Arial" w:eastAsia="Times New Roman" w:hAnsi="Arial" w:cs="Arial"/>
                <w:b/>
                <w:bCs/>
                <w:lang w:eastAsia="en-GB"/>
              </w:rPr>
              <w:t>1</w:t>
            </w:r>
            <w:r w:rsidR="002E3175" w:rsidRPr="00F5658D">
              <w:rPr>
                <w:rFonts w:ascii="Arial" w:eastAsia="Times New Roman" w:hAnsi="Arial" w:cs="Arial"/>
                <w:b/>
                <w:bCs/>
                <w:lang w:eastAsia="en-GB"/>
              </w:rPr>
              <w:t>9</w:t>
            </w:r>
          </w:p>
          <w:p w:rsidR="00703F4A" w:rsidRPr="00F5658D" w:rsidRDefault="002E3175"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Forecast</w:t>
            </w:r>
          </w:p>
          <w:p w:rsidR="00703F4A" w:rsidRPr="00F5658D" w:rsidRDefault="00703F4A" w:rsidP="00703F4A">
            <w:pPr>
              <w:spacing w:after="0"/>
              <w:jc w:val="center"/>
              <w:rPr>
                <w:rFonts w:ascii="Arial" w:eastAsia="Times New Roman" w:hAnsi="Arial" w:cs="Arial"/>
                <w:b/>
                <w:bCs/>
                <w:lang w:eastAsia="en-GB"/>
              </w:rPr>
            </w:pPr>
            <w:r w:rsidRPr="00F5658D">
              <w:rPr>
                <w:rFonts w:ascii="Arial" w:eastAsia="Times New Roman" w:hAnsi="Arial" w:cs="Arial"/>
                <w:b/>
                <w:bCs/>
                <w:lang w:eastAsia="en-GB"/>
              </w:rPr>
              <w:t>£m</w:t>
            </w:r>
          </w:p>
        </w:tc>
      </w:tr>
      <w:tr w:rsidR="00703F4A" w:rsidRPr="00F5658D" w:rsidTr="00703F4A">
        <w:trPr>
          <w:trHeight w:val="340"/>
        </w:trPr>
        <w:tc>
          <w:tcPr>
            <w:tcW w:w="3510" w:type="dxa"/>
            <w:vAlign w:val="center"/>
          </w:tcPr>
          <w:p w:rsidR="00703F4A" w:rsidRPr="00F5658D" w:rsidRDefault="00753088" w:rsidP="00753088">
            <w:pPr>
              <w:spacing w:after="0"/>
              <w:rPr>
                <w:rFonts w:ascii="Arial" w:eastAsia="Times New Roman" w:hAnsi="Arial" w:cs="Arial"/>
                <w:b/>
                <w:bCs/>
                <w:lang w:eastAsia="en-GB"/>
              </w:rPr>
            </w:pPr>
            <w:r w:rsidRPr="00F5658D">
              <w:rPr>
                <w:rFonts w:ascii="Arial" w:eastAsia="Times New Roman" w:hAnsi="Arial" w:cs="Arial"/>
                <w:b/>
                <w:bCs/>
                <w:lang w:eastAsia="en-GB"/>
              </w:rPr>
              <w:t>Capital Financing Requirement</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sidRPr="001F281B">
              <w:rPr>
                <w:rFonts w:ascii="Arial" w:eastAsia="Times New Roman" w:hAnsi="Arial" w:cs="Arial"/>
                <w:b/>
                <w:bCs/>
                <w:lang w:eastAsia="en-GB"/>
              </w:rPr>
              <w:t>61.9</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62.4</w:t>
            </w:r>
          </w:p>
        </w:tc>
        <w:tc>
          <w:tcPr>
            <w:tcW w:w="1147"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84.3</w:t>
            </w:r>
          </w:p>
        </w:tc>
        <w:tc>
          <w:tcPr>
            <w:tcW w:w="1146" w:type="dxa"/>
            <w:vAlign w:val="center"/>
          </w:tcPr>
          <w:p w:rsidR="001F281B" w:rsidRPr="001F281B" w:rsidRDefault="001F281B" w:rsidP="001F281B">
            <w:pPr>
              <w:spacing w:after="0"/>
              <w:jc w:val="right"/>
              <w:rPr>
                <w:rFonts w:ascii="Arial" w:eastAsia="Times New Roman" w:hAnsi="Arial" w:cs="Arial"/>
                <w:b/>
                <w:bCs/>
                <w:lang w:eastAsia="en-GB"/>
              </w:rPr>
            </w:pPr>
            <w:r>
              <w:rPr>
                <w:rFonts w:ascii="Arial" w:eastAsia="Times New Roman" w:hAnsi="Arial" w:cs="Arial"/>
                <w:b/>
                <w:bCs/>
                <w:lang w:eastAsia="en-GB"/>
              </w:rPr>
              <w:t>98.5</w:t>
            </w:r>
          </w:p>
        </w:tc>
        <w:tc>
          <w:tcPr>
            <w:tcW w:w="1147"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97.4</w:t>
            </w:r>
          </w:p>
        </w:tc>
      </w:tr>
      <w:tr w:rsidR="00703F4A" w:rsidRPr="00F5658D" w:rsidTr="00703F4A">
        <w:trPr>
          <w:trHeight w:val="340"/>
        </w:trPr>
        <w:tc>
          <w:tcPr>
            <w:tcW w:w="3510" w:type="dxa"/>
            <w:vAlign w:val="center"/>
          </w:tcPr>
          <w:p w:rsidR="00703F4A" w:rsidRPr="00F5658D" w:rsidRDefault="00703F4A" w:rsidP="001F281B">
            <w:pPr>
              <w:spacing w:after="0"/>
              <w:rPr>
                <w:rFonts w:ascii="Arial" w:eastAsia="Times New Roman" w:hAnsi="Arial" w:cs="Arial"/>
                <w:bCs/>
                <w:lang w:eastAsia="en-GB"/>
              </w:rPr>
            </w:pPr>
            <w:r w:rsidRPr="00F5658D">
              <w:rPr>
                <w:rFonts w:ascii="Arial" w:eastAsia="Times New Roman" w:hAnsi="Arial" w:cs="Arial"/>
                <w:bCs/>
                <w:lang w:eastAsia="en-GB"/>
              </w:rPr>
              <w:t xml:space="preserve">Less: Other </w:t>
            </w:r>
            <w:r w:rsidR="0026017D" w:rsidRPr="00F5658D">
              <w:rPr>
                <w:rFonts w:ascii="Arial" w:eastAsia="Times New Roman" w:hAnsi="Arial" w:cs="Arial"/>
                <w:bCs/>
                <w:lang w:eastAsia="en-GB"/>
              </w:rPr>
              <w:t>debt</w:t>
            </w:r>
            <w:r w:rsidRPr="00F5658D">
              <w:rPr>
                <w:rFonts w:ascii="Arial" w:eastAsia="Times New Roman" w:hAnsi="Arial" w:cs="Arial"/>
                <w:bCs/>
                <w:lang w:eastAsia="en-GB"/>
              </w:rPr>
              <w:t xml:space="preserve"> liabilities</w:t>
            </w:r>
            <w:r w:rsidR="002A6A8D" w:rsidRPr="00F5658D">
              <w:rPr>
                <w:rFonts w:ascii="Arial" w:eastAsia="Times New Roman" w:hAnsi="Arial" w:cs="Arial"/>
                <w:bCs/>
                <w:lang w:eastAsia="en-GB"/>
              </w:rPr>
              <w:t xml:space="preserve"> *</w:t>
            </w:r>
            <w:r w:rsidR="0025188A" w:rsidRPr="00F5658D">
              <w:rPr>
                <w:rFonts w:ascii="Arial" w:eastAsia="Times New Roman" w:hAnsi="Arial" w:cs="Arial"/>
                <w:bCs/>
                <w:lang w:eastAsia="en-GB"/>
              </w:rPr>
              <w:t xml:space="preserve"> </w:t>
            </w:r>
          </w:p>
        </w:tc>
        <w:tc>
          <w:tcPr>
            <w:tcW w:w="1146" w:type="dxa"/>
            <w:vAlign w:val="center"/>
          </w:tcPr>
          <w:p w:rsidR="00703F4A" w:rsidRPr="001F281B" w:rsidRDefault="001F281B" w:rsidP="00703F4A">
            <w:pPr>
              <w:spacing w:after="0"/>
              <w:jc w:val="right"/>
              <w:rPr>
                <w:rFonts w:ascii="Arial" w:eastAsia="Times New Roman" w:hAnsi="Arial" w:cs="Arial"/>
                <w:bCs/>
                <w:lang w:eastAsia="en-GB"/>
              </w:rPr>
            </w:pPr>
            <w:r w:rsidRPr="001F281B">
              <w:rPr>
                <w:rFonts w:ascii="Arial" w:eastAsia="Times New Roman" w:hAnsi="Arial" w:cs="Arial"/>
                <w:bCs/>
                <w:lang w:eastAsia="en-GB"/>
              </w:rPr>
              <w:t>0.0</w:t>
            </w:r>
          </w:p>
        </w:tc>
        <w:tc>
          <w:tcPr>
            <w:tcW w:w="1146" w:type="dxa"/>
            <w:vAlign w:val="center"/>
          </w:tcPr>
          <w:p w:rsidR="00703F4A" w:rsidRPr="001F281B" w:rsidRDefault="001F281B" w:rsidP="00703F4A">
            <w:pPr>
              <w:spacing w:after="0"/>
              <w:jc w:val="right"/>
              <w:rPr>
                <w:rFonts w:ascii="Arial" w:eastAsia="Times New Roman" w:hAnsi="Arial" w:cs="Arial"/>
                <w:bCs/>
                <w:lang w:eastAsia="en-GB"/>
              </w:rPr>
            </w:pPr>
            <w:r>
              <w:rPr>
                <w:rFonts w:ascii="Arial" w:eastAsia="Times New Roman" w:hAnsi="Arial" w:cs="Arial"/>
                <w:bCs/>
                <w:lang w:eastAsia="en-GB"/>
              </w:rPr>
              <w:t>0.0</w:t>
            </w:r>
          </w:p>
        </w:tc>
        <w:tc>
          <w:tcPr>
            <w:tcW w:w="1147" w:type="dxa"/>
            <w:vAlign w:val="center"/>
          </w:tcPr>
          <w:p w:rsidR="00703F4A" w:rsidRPr="001F281B" w:rsidRDefault="001F281B" w:rsidP="00703F4A">
            <w:pPr>
              <w:spacing w:after="0"/>
              <w:jc w:val="right"/>
              <w:rPr>
                <w:rFonts w:ascii="Arial" w:eastAsia="Times New Roman" w:hAnsi="Arial" w:cs="Arial"/>
                <w:bCs/>
                <w:lang w:eastAsia="en-GB"/>
              </w:rPr>
            </w:pPr>
            <w:r>
              <w:rPr>
                <w:rFonts w:ascii="Arial" w:eastAsia="Times New Roman" w:hAnsi="Arial" w:cs="Arial"/>
                <w:bCs/>
                <w:lang w:eastAsia="en-GB"/>
              </w:rPr>
              <w:t>0.0</w:t>
            </w:r>
          </w:p>
        </w:tc>
        <w:tc>
          <w:tcPr>
            <w:tcW w:w="1146" w:type="dxa"/>
            <w:vAlign w:val="center"/>
          </w:tcPr>
          <w:p w:rsidR="00703F4A" w:rsidRPr="001F281B" w:rsidRDefault="001F281B" w:rsidP="00703F4A">
            <w:pPr>
              <w:spacing w:after="0"/>
              <w:jc w:val="right"/>
              <w:rPr>
                <w:rFonts w:ascii="Arial" w:eastAsia="Times New Roman" w:hAnsi="Arial" w:cs="Arial"/>
                <w:bCs/>
                <w:lang w:eastAsia="en-GB"/>
              </w:rPr>
            </w:pPr>
            <w:r>
              <w:rPr>
                <w:rFonts w:ascii="Arial" w:eastAsia="Times New Roman" w:hAnsi="Arial" w:cs="Arial"/>
                <w:bCs/>
                <w:lang w:eastAsia="en-GB"/>
              </w:rPr>
              <w:t>0.0</w:t>
            </w:r>
          </w:p>
        </w:tc>
        <w:tc>
          <w:tcPr>
            <w:tcW w:w="1147" w:type="dxa"/>
            <w:vAlign w:val="center"/>
          </w:tcPr>
          <w:p w:rsidR="00703F4A" w:rsidRPr="001F281B" w:rsidRDefault="001F281B" w:rsidP="00703F4A">
            <w:pPr>
              <w:spacing w:after="0"/>
              <w:jc w:val="right"/>
              <w:rPr>
                <w:rFonts w:ascii="Arial" w:eastAsia="Times New Roman" w:hAnsi="Arial" w:cs="Arial"/>
                <w:bCs/>
                <w:lang w:eastAsia="en-GB"/>
              </w:rPr>
            </w:pPr>
            <w:r>
              <w:rPr>
                <w:rFonts w:ascii="Arial" w:eastAsia="Times New Roman" w:hAnsi="Arial" w:cs="Arial"/>
                <w:bCs/>
                <w:lang w:eastAsia="en-GB"/>
              </w:rPr>
              <w:t>0.0</w:t>
            </w:r>
          </w:p>
        </w:tc>
      </w:tr>
      <w:tr w:rsidR="00703F4A" w:rsidRPr="00F5658D" w:rsidTr="00703F4A">
        <w:trPr>
          <w:trHeight w:val="340"/>
        </w:trPr>
        <w:tc>
          <w:tcPr>
            <w:tcW w:w="3510" w:type="dxa"/>
            <w:vAlign w:val="center"/>
          </w:tcPr>
          <w:p w:rsidR="00703F4A" w:rsidRPr="00F5658D" w:rsidRDefault="00703F4A" w:rsidP="001F281B">
            <w:pPr>
              <w:spacing w:after="0"/>
              <w:rPr>
                <w:rFonts w:ascii="Arial" w:eastAsia="Times New Roman" w:hAnsi="Arial" w:cs="Arial"/>
                <w:b/>
                <w:bCs/>
                <w:lang w:eastAsia="en-GB"/>
              </w:rPr>
            </w:pPr>
            <w:r w:rsidRPr="00F5658D">
              <w:rPr>
                <w:rFonts w:ascii="Arial" w:eastAsia="Times New Roman" w:hAnsi="Arial" w:cs="Arial"/>
                <w:b/>
                <w:bCs/>
                <w:lang w:eastAsia="en-GB"/>
              </w:rPr>
              <w:t>Borrowing CFR</w:t>
            </w:r>
            <w:r w:rsidR="0025188A" w:rsidRPr="00F5658D">
              <w:rPr>
                <w:rFonts w:ascii="Arial" w:eastAsia="Times New Roman" w:hAnsi="Arial" w:cs="Arial"/>
                <w:b/>
                <w:bCs/>
                <w:lang w:eastAsia="en-GB"/>
              </w:rPr>
              <w:t xml:space="preserve"> </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sidRPr="001F281B">
              <w:rPr>
                <w:rFonts w:ascii="Arial" w:eastAsia="Times New Roman" w:hAnsi="Arial" w:cs="Arial"/>
                <w:b/>
                <w:bCs/>
                <w:lang w:eastAsia="en-GB"/>
              </w:rPr>
              <w:t>61.9</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62.4</w:t>
            </w:r>
          </w:p>
        </w:tc>
        <w:tc>
          <w:tcPr>
            <w:tcW w:w="1147"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84.3</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98.5</w:t>
            </w:r>
          </w:p>
        </w:tc>
        <w:tc>
          <w:tcPr>
            <w:tcW w:w="1147" w:type="dxa"/>
            <w:vAlign w:val="center"/>
          </w:tcPr>
          <w:p w:rsidR="00703F4A" w:rsidRPr="001F281B" w:rsidRDefault="001F281B" w:rsidP="00703F4A">
            <w:pPr>
              <w:spacing w:after="0"/>
              <w:jc w:val="right"/>
              <w:rPr>
                <w:rFonts w:ascii="Arial" w:eastAsia="Times New Roman" w:hAnsi="Arial" w:cs="Arial"/>
                <w:b/>
                <w:bCs/>
                <w:lang w:eastAsia="en-GB"/>
              </w:rPr>
            </w:pPr>
            <w:r>
              <w:rPr>
                <w:rFonts w:ascii="Arial" w:eastAsia="Times New Roman" w:hAnsi="Arial" w:cs="Arial"/>
                <w:b/>
                <w:bCs/>
                <w:lang w:eastAsia="en-GB"/>
              </w:rPr>
              <w:t>97.4</w:t>
            </w:r>
          </w:p>
        </w:tc>
      </w:tr>
      <w:tr w:rsidR="00703F4A" w:rsidRPr="00F5658D" w:rsidTr="00703F4A">
        <w:trPr>
          <w:trHeight w:val="340"/>
        </w:trPr>
        <w:tc>
          <w:tcPr>
            <w:tcW w:w="3510" w:type="dxa"/>
            <w:vAlign w:val="center"/>
          </w:tcPr>
          <w:p w:rsidR="00703F4A" w:rsidRPr="00F5658D" w:rsidRDefault="00703F4A" w:rsidP="00703F4A">
            <w:pPr>
              <w:spacing w:after="0"/>
              <w:rPr>
                <w:rFonts w:ascii="Arial" w:eastAsia="Times New Roman" w:hAnsi="Arial" w:cs="Arial"/>
                <w:bCs/>
                <w:lang w:eastAsia="en-GB"/>
              </w:rPr>
            </w:pPr>
            <w:r w:rsidRPr="00F5658D">
              <w:rPr>
                <w:rFonts w:ascii="Arial" w:eastAsia="Times New Roman" w:hAnsi="Arial" w:cs="Arial"/>
                <w:bCs/>
                <w:lang w:eastAsia="en-GB"/>
              </w:rPr>
              <w:t>Less: External borrowing</w:t>
            </w:r>
            <w:r w:rsidR="002A6A8D" w:rsidRPr="00F5658D">
              <w:rPr>
                <w:rFonts w:ascii="Arial" w:eastAsia="Times New Roman" w:hAnsi="Arial" w:cs="Arial"/>
                <w:bCs/>
                <w:lang w:eastAsia="en-GB"/>
              </w:rPr>
              <w:t xml:space="preserve"> **</w:t>
            </w:r>
          </w:p>
        </w:tc>
        <w:tc>
          <w:tcPr>
            <w:tcW w:w="1146" w:type="dxa"/>
            <w:vAlign w:val="center"/>
          </w:tcPr>
          <w:p w:rsidR="00703F4A" w:rsidRPr="001F281B" w:rsidRDefault="001F281B" w:rsidP="00C53E2F">
            <w:pPr>
              <w:spacing w:after="0"/>
              <w:jc w:val="right"/>
              <w:rPr>
                <w:rFonts w:ascii="Arial" w:eastAsia="Times New Roman" w:hAnsi="Arial" w:cs="Arial"/>
                <w:bCs/>
                <w:lang w:eastAsia="en-GB"/>
              </w:rPr>
            </w:pPr>
            <w:r w:rsidRPr="001F281B">
              <w:rPr>
                <w:rFonts w:ascii="Arial" w:eastAsia="Times New Roman" w:hAnsi="Arial" w:cs="Arial"/>
                <w:bCs/>
                <w:lang w:eastAsia="en-GB"/>
              </w:rPr>
              <w:t>56.</w:t>
            </w:r>
            <w:r w:rsidR="00C53E2F">
              <w:rPr>
                <w:rFonts w:ascii="Arial" w:eastAsia="Times New Roman" w:hAnsi="Arial" w:cs="Arial"/>
                <w:bCs/>
                <w:lang w:eastAsia="en-GB"/>
              </w:rPr>
              <w:t>7</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57.3</w:t>
            </w:r>
          </w:p>
        </w:tc>
        <w:tc>
          <w:tcPr>
            <w:tcW w:w="1147"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79.2</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93.4</w:t>
            </w:r>
          </w:p>
        </w:tc>
        <w:tc>
          <w:tcPr>
            <w:tcW w:w="1147" w:type="dxa"/>
            <w:vAlign w:val="center"/>
          </w:tcPr>
          <w:p w:rsidR="00C53E2F" w:rsidRPr="001F281B" w:rsidRDefault="00C53E2F" w:rsidP="00C53E2F">
            <w:pPr>
              <w:spacing w:after="0"/>
              <w:jc w:val="right"/>
              <w:rPr>
                <w:rFonts w:ascii="Arial" w:eastAsia="Times New Roman" w:hAnsi="Arial" w:cs="Arial"/>
                <w:bCs/>
                <w:lang w:eastAsia="en-GB"/>
              </w:rPr>
            </w:pPr>
            <w:r>
              <w:rPr>
                <w:rFonts w:ascii="Arial" w:eastAsia="Times New Roman" w:hAnsi="Arial" w:cs="Arial"/>
                <w:bCs/>
                <w:lang w:eastAsia="en-GB"/>
              </w:rPr>
              <w:t>92.3</w:t>
            </w:r>
          </w:p>
        </w:tc>
      </w:tr>
      <w:tr w:rsidR="00703F4A" w:rsidRPr="00F5658D" w:rsidTr="00703F4A">
        <w:trPr>
          <w:trHeight w:val="340"/>
        </w:trPr>
        <w:tc>
          <w:tcPr>
            <w:tcW w:w="3510" w:type="dxa"/>
            <w:vAlign w:val="center"/>
          </w:tcPr>
          <w:p w:rsidR="00703F4A" w:rsidRPr="00F5658D" w:rsidRDefault="00703F4A" w:rsidP="00703F4A">
            <w:pPr>
              <w:spacing w:after="0"/>
              <w:rPr>
                <w:rFonts w:ascii="Arial" w:eastAsia="Times New Roman" w:hAnsi="Arial" w:cs="Arial"/>
                <w:b/>
                <w:bCs/>
                <w:lang w:eastAsia="en-GB"/>
              </w:rPr>
            </w:pPr>
            <w:r w:rsidRPr="00F5658D">
              <w:rPr>
                <w:rFonts w:ascii="Arial" w:eastAsia="Times New Roman" w:hAnsi="Arial" w:cs="Arial"/>
                <w:b/>
                <w:bCs/>
                <w:lang w:eastAsia="en-GB"/>
              </w:rPr>
              <w:t>Internal borrowing</w:t>
            </w:r>
          </w:p>
        </w:tc>
        <w:tc>
          <w:tcPr>
            <w:tcW w:w="1146" w:type="dxa"/>
            <w:vAlign w:val="center"/>
          </w:tcPr>
          <w:p w:rsidR="001F281B" w:rsidRPr="001F281B" w:rsidRDefault="001F281B" w:rsidP="00C53E2F">
            <w:pPr>
              <w:spacing w:after="0"/>
              <w:jc w:val="right"/>
              <w:rPr>
                <w:rFonts w:ascii="Arial" w:eastAsia="Times New Roman" w:hAnsi="Arial" w:cs="Arial"/>
                <w:b/>
                <w:bCs/>
                <w:lang w:eastAsia="en-GB"/>
              </w:rPr>
            </w:pPr>
            <w:r w:rsidRPr="001F281B">
              <w:rPr>
                <w:rFonts w:ascii="Arial" w:eastAsia="Times New Roman" w:hAnsi="Arial" w:cs="Arial"/>
                <w:b/>
                <w:bCs/>
                <w:lang w:eastAsia="en-GB"/>
              </w:rPr>
              <w:t>5.</w:t>
            </w:r>
            <w:r w:rsidR="00C53E2F">
              <w:rPr>
                <w:rFonts w:ascii="Arial" w:eastAsia="Times New Roman" w:hAnsi="Arial" w:cs="Arial"/>
                <w:b/>
                <w:bCs/>
                <w:lang w:eastAsia="en-GB"/>
              </w:rPr>
              <w:t>2</w:t>
            </w:r>
          </w:p>
        </w:tc>
        <w:tc>
          <w:tcPr>
            <w:tcW w:w="1146"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5.1</w:t>
            </w:r>
          </w:p>
        </w:tc>
        <w:tc>
          <w:tcPr>
            <w:tcW w:w="1147"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5.1</w:t>
            </w:r>
          </w:p>
        </w:tc>
        <w:tc>
          <w:tcPr>
            <w:tcW w:w="1146"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5.1</w:t>
            </w:r>
          </w:p>
        </w:tc>
        <w:tc>
          <w:tcPr>
            <w:tcW w:w="1147"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5.1</w:t>
            </w:r>
          </w:p>
        </w:tc>
      </w:tr>
      <w:tr w:rsidR="00703F4A" w:rsidRPr="00F5658D" w:rsidTr="00703F4A">
        <w:trPr>
          <w:trHeight w:val="340"/>
        </w:trPr>
        <w:tc>
          <w:tcPr>
            <w:tcW w:w="3510" w:type="dxa"/>
            <w:vAlign w:val="center"/>
          </w:tcPr>
          <w:p w:rsidR="00703F4A" w:rsidRPr="00F5658D" w:rsidRDefault="00703F4A" w:rsidP="00703F4A">
            <w:pPr>
              <w:spacing w:after="0"/>
              <w:rPr>
                <w:rFonts w:ascii="Arial" w:eastAsia="Times New Roman" w:hAnsi="Arial" w:cs="Arial"/>
                <w:bCs/>
                <w:lang w:eastAsia="en-GB"/>
              </w:rPr>
            </w:pPr>
            <w:r w:rsidRPr="00F5658D">
              <w:rPr>
                <w:rFonts w:ascii="Arial" w:eastAsia="Times New Roman" w:hAnsi="Arial" w:cs="Arial"/>
                <w:bCs/>
                <w:lang w:eastAsia="en-GB"/>
              </w:rPr>
              <w:t>Less: Usable reserves</w:t>
            </w:r>
          </w:p>
        </w:tc>
        <w:tc>
          <w:tcPr>
            <w:tcW w:w="1146" w:type="dxa"/>
            <w:vAlign w:val="center"/>
          </w:tcPr>
          <w:p w:rsidR="00703F4A" w:rsidRPr="001F281B" w:rsidRDefault="001F281B" w:rsidP="005122C7">
            <w:pPr>
              <w:spacing w:after="0"/>
              <w:jc w:val="right"/>
              <w:rPr>
                <w:rFonts w:ascii="Arial" w:eastAsia="Times New Roman" w:hAnsi="Arial" w:cs="Arial"/>
                <w:bCs/>
                <w:lang w:eastAsia="en-GB"/>
              </w:rPr>
            </w:pPr>
            <w:r w:rsidRPr="001F281B">
              <w:rPr>
                <w:rFonts w:ascii="Arial" w:eastAsia="Times New Roman" w:hAnsi="Arial" w:cs="Arial"/>
                <w:bCs/>
                <w:lang w:eastAsia="en-GB"/>
              </w:rPr>
              <w:t>8.2</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8.2</w:t>
            </w:r>
          </w:p>
        </w:tc>
        <w:tc>
          <w:tcPr>
            <w:tcW w:w="1147"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8.2</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8.2</w:t>
            </w:r>
          </w:p>
        </w:tc>
        <w:tc>
          <w:tcPr>
            <w:tcW w:w="1147"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8.2</w:t>
            </w:r>
          </w:p>
        </w:tc>
      </w:tr>
      <w:tr w:rsidR="00703F4A" w:rsidRPr="00F5658D" w:rsidTr="00703F4A">
        <w:trPr>
          <w:trHeight w:val="340"/>
        </w:trPr>
        <w:tc>
          <w:tcPr>
            <w:tcW w:w="3510" w:type="dxa"/>
            <w:vAlign w:val="center"/>
          </w:tcPr>
          <w:p w:rsidR="00703F4A" w:rsidRPr="00F5658D" w:rsidRDefault="00703F4A" w:rsidP="00703F4A">
            <w:pPr>
              <w:spacing w:after="0"/>
              <w:rPr>
                <w:rFonts w:ascii="Arial" w:eastAsia="Times New Roman" w:hAnsi="Arial" w:cs="Arial"/>
                <w:bCs/>
                <w:lang w:eastAsia="en-GB"/>
              </w:rPr>
            </w:pPr>
            <w:r w:rsidRPr="00F5658D">
              <w:rPr>
                <w:rFonts w:ascii="Arial" w:eastAsia="Times New Roman" w:hAnsi="Arial" w:cs="Arial"/>
                <w:bCs/>
                <w:lang w:eastAsia="en-GB"/>
              </w:rPr>
              <w:t>Less: Working capital</w:t>
            </w:r>
          </w:p>
        </w:tc>
        <w:tc>
          <w:tcPr>
            <w:tcW w:w="1146" w:type="dxa"/>
            <w:vAlign w:val="center"/>
          </w:tcPr>
          <w:p w:rsidR="00703F4A" w:rsidRPr="001F281B" w:rsidRDefault="001F281B" w:rsidP="00703F4A">
            <w:pPr>
              <w:spacing w:after="0"/>
              <w:jc w:val="right"/>
              <w:rPr>
                <w:rFonts w:ascii="Arial" w:eastAsia="Times New Roman" w:hAnsi="Arial" w:cs="Arial"/>
                <w:bCs/>
                <w:lang w:eastAsia="en-GB"/>
              </w:rPr>
            </w:pPr>
            <w:r w:rsidRPr="001F281B">
              <w:rPr>
                <w:rFonts w:ascii="Arial" w:eastAsia="Times New Roman" w:hAnsi="Arial" w:cs="Arial"/>
                <w:bCs/>
                <w:lang w:eastAsia="en-GB"/>
              </w:rPr>
              <w:t>0.9</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1.0</w:t>
            </w:r>
          </w:p>
        </w:tc>
        <w:tc>
          <w:tcPr>
            <w:tcW w:w="1147"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1.0</w:t>
            </w:r>
          </w:p>
        </w:tc>
        <w:tc>
          <w:tcPr>
            <w:tcW w:w="1146"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1.0</w:t>
            </w:r>
          </w:p>
        </w:tc>
        <w:tc>
          <w:tcPr>
            <w:tcW w:w="1147" w:type="dxa"/>
            <w:vAlign w:val="center"/>
          </w:tcPr>
          <w:p w:rsidR="00703F4A" w:rsidRPr="001F281B" w:rsidRDefault="00C53E2F" w:rsidP="00703F4A">
            <w:pPr>
              <w:spacing w:after="0"/>
              <w:jc w:val="right"/>
              <w:rPr>
                <w:rFonts w:ascii="Arial" w:eastAsia="Times New Roman" w:hAnsi="Arial" w:cs="Arial"/>
                <w:bCs/>
                <w:lang w:eastAsia="en-GB"/>
              </w:rPr>
            </w:pPr>
            <w:r>
              <w:rPr>
                <w:rFonts w:ascii="Arial" w:eastAsia="Times New Roman" w:hAnsi="Arial" w:cs="Arial"/>
                <w:bCs/>
                <w:lang w:eastAsia="en-GB"/>
              </w:rPr>
              <w:t>1.0</w:t>
            </w:r>
          </w:p>
        </w:tc>
      </w:tr>
      <w:tr w:rsidR="00703F4A" w:rsidRPr="00F5658D" w:rsidTr="00703F4A">
        <w:trPr>
          <w:trHeight w:val="340"/>
        </w:trPr>
        <w:tc>
          <w:tcPr>
            <w:tcW w:w="3510" w:type="dxa"/>
            <w:vAlign w:val="center"/>
          </w:tcPr>
          <w:p w:rsidR="00703F4A" w:rsidRPr="001F281B" w:rsidRDefault="00C53E2F" w:rsidP="00703F4A">
            <w:pPr>
              <w:spacing w:after="0"/>
              <w:rPr>
                <w:rFonts w:ascii="Arial" w:eastAsia="Times New Roman" w:hAnsi="Arial" w:cs="Arial"/>
                <w:b/>
                <w:bCs/>
                <w:lang w:eastAsia="en-GB"/>
              </w:rPr>
            </w:pPr>
            <w:r>
              <w:rPr>
                <w:rFonts w:ascii="Arial" w:eastAsia="Times New Roman" w:hAnsi="Arial" w:cs="Arial"/>
                <w:b/>
                <w:bCs/>
                <w:lang w:eastAsia="en-GB"/>
              </w:rPr>
              <w:t>New gross borrowing</w:t>
            </w:r>
          </w:p>
        </w:tc>
        <w:tc>
          <w:tcPr>
            <w:tcW w:w="1146" w:type="dxa"/>
            <w:vAlign w:val="center"/>
          </w:tcPr>
          <w:p w:rsidR="00703F4A" w:rsidRPr="001F281B" w:rsidRDefault="001F281B" w:rsidP="00703F4A">
            <w:pPr>
              <w:spacing w:after="0"/>
              <w:jc w:val="right"/>
              <w:rPr>
                <w:rFonts w:ascii="Arial" w:eastAsia="Times New Roman" w:hAnsi="Arial" w:cs="Arial"/>
                <w:b/>
                <w:bCs/>
                <w:lang w:eastAsia="en-GB"/>
              </w:rPr>
            </w:pPr>
            <w:r w:rsidRPr="001F281B">
              <w:rPr>
                <w:rFonts w:ascii="Arial" w:eastAsia="Times New Roman" w:hAnsi="Arial" w:cs="Arial"/>
                <w:b/>
                <w:bCs/>
                <w:lang w:eastAsia="en-GB"/>
              </w:rPr>
              <w:t>8.5</w:t>
            </w:r>
          </w:p>
        </w:tc>
        <w:tc>
          <w:tcPr>
            <w:tcW w:w="1146"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5.4</w:t>
            </w:r>
          </w:p>
        </w:tc>
        <w:tc>
          <w:tcPr>
            <w:tcW w:w="1147"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27.6</w:t>
            </w:r>
          </w:p>
        </w:tc>
        <w:tc>
          <w:tcPr>
            <w:tcW w:w="1146"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20.8</w:t>
            </w:r>
          </w:p>
        </w:tc>
        <w:tc>
          <w:tcPr>
            <w:tcW w:w="1147" w:type="dxa"/>
            <w:vAlign w:val="center"/>
          </w:tcPr>
          <w:p w:rsidR="00703F4A" w:rsidRPr="001F281B" w:rsidRDefault="00C53E2F" w:rsidP="00703F4A">
            <w:pPr>
              <w:spacing w:after="0"/>
              <w:jc w:val="right"/>
              <w:rPr>
                <w:rFonts w:ascii="Arial" w:eastAsia="Times New Roman" w:hAnsi="Arial" w:cs="Arial"/>
                <w:b/>
                <w:bCs/>
                <w:lang w:eastAsia="en-GB"/>
              </w:rPr>
            </w:pPr>
            <w:r>
              <w:rPr>
                <w:rFonts w:ascii="Arial" w:eastAsia="Times New Roman" w:hAnsi="Arial" w:cs="Arial"/>
                <w:b/>
                <w:bCs/>
                <w:lang w:eastAsia="en-GB"/>
              </w:rPr>
              <w:t>5.8</w:t>
            </w:r>
          </w:p>
        </w:tc>
      </w:tr>
    </w:tbl>
    <w:p w:rsidR="00F34739" w:rsidRPr="00F5658D" w:rsidRDefault="002E3175" w:rsidP="002A6A8D">
      <w:pPr>
        <w:spacing w:after="0"/>
        <w:jc w:val="both"/>
        <w:rPr>
          <w:rFonts w:ascii="Arial" w:hAnsi="Arial" w:cs="Arial"/>
          <w:bCs/>
          <w:lang w:val="en-US"/>
        </w:rPr>
      </w:pPr>
      <w:r w:rsidRPr="00F5658D">
        <w:rPr>
          <w:rFonts w:ascii="Arial" w:hAnsi="Arial" w:cs="Arial"/>
          <w:bCs/>
          <w:lang w:val="en-US"/>
        </w:rPr>
        <w:t>* finance leases</w:t>
      </w:r>
      <w:r w:rsidR="002A6A8D" w:rsidRPr="00F5658D">
        <w:rPr>
          <w:rFonts w:ascii="Arial" w:hAnsi="Arial" w:cs="Arial"/>
          <w:bCs/>
          <w:lang w:val="en-US"/>
        </w:rPr>
        <w:t xml:space="preserve"> form part of the Authority’s </w:t>
      </w:r>
      <w:r w:rsidRPr="00F5658D">
        <w:rPr>
          <w:rFonts w:ascii="Arial" w:hAnsi="Arial" w:cs="Arial"/>
          <w:bCs/>
          <w:lang w:val="en-US"/>
        </w:rPr>
        <w:t xml:space="preserve">total </w:t>
      </w:r>
      <w:r w:rsidR="002A6A8D" w:rsidRPr="00F5658D">
        <w:rPr>
          <w:rFonts w:ascii="Arial" w:hAnsi="Arial" w:cs="Arial"/>
          <w:bCs/>
          <w:lang w:val="en-US"/>
        </w:rPr>
        <w:t>debt</w:t>
      </w:r>
    </w:p>
    <w:p w:rsidR="002A6A8D" w:rsidRPr="00F5658D" w:rsidRDefault="002A6A8D" w:rsidP="009F23E2">
      <w:pPr>
        <w:jc w:val="both"/>
        <w:rPr>
          <w:rFonts w:ascii="Arial" w:hAnsi="Arial" w:cs="Arial"/>
          <w:bCs/>
          <w:lang w:val="en-US"/>
        </w:rPr>
      </w:pPr>
      <w:r w:rsidRPr="00F5658D">
        <w:rPr>
          <w:rFonts w:ascii="Arial" w:hAnsi="Arial" w:cs="Arial"/>
          <w:bCs/>
          <w:lang w:val="en-US"/>
        </w:rPr>
        <w:t>** shows only loans to which the Authority is committed and excludes optional refinancing</w:t>
      </w:r>
    </w:p>
    <w:p w:rsidR="0083546E" w:rsidRDefault="009F23E2" w:rsidP="0083546E">
      <w:pPr>
        <w:jc w:val="both"/>
        <w:rPr>
          <w:rFonts w:ascii="Arial" w:hAnsi="Arial" w:cs="Arial"/>
        </w:rPr>
      </w:pPr>
      <w:r w:rsidRPr="00F5658D">
        <w:rPr>
          <w:rFonts w:ascii="Arial" w:hAnsi="Arial" w:cs="Arial"/>
        </w:rPr>
        <w:t>The underlying need to borrow for capital purposes is measured by the Capital Financing Requirement (CFR), while usable reserves and working capital are the underlying resources available for investment</w:t>
      </w:r>
      <w:r w:rsidR="00C845A7" w:rsidRPr="00F5658D">
        <w:rPr>
          <w:rFonts w:ascii="Arial" w:hAnsi="Arial" w:cs="Arial"/>
        </w:rPr>
        <w:t>.</w:t>
      </w:r>
      <w:r w:rsidR="000646F7" w:rsidRPr="00F5658D">
        <w:rPr>
          <w:rFonts w:ascii="Arial" w:hAnsi="Arial" w:cs="Arial"/>
        </w:rPr>
        <w:t xml:space="preserve">  The Authority’s current strategy is to maintain borrowing and investments below their underlying levels</w:t>
      </w:r>
      <w:r w:rsidR="000C04C7" w:rsidRPr="00F5658D">
        <w:rPr>
          <w:rFonts w:ascii="Arial" w:hAnsi="Arial" w:cs="Arial"/>
        </w:rPr>
        <w:t>, sometimes known as internal borrowing</w:t>
      </w:r>
      <w:r w:rsidR="00C53E2F">
        <w:rPr>
          <w:rFonts w:ascii="Arial" w:hAnsi="Arial" w:cs="Arial"/>
        </w:rPr>
        <w:t>.</w:t>
      </w:r>
      <w:r w:rsidR="00FD6480" w:rsidRPr="00F5658D">
        <w:rPr>
          <w:rFonts w:ascii="Arial" w:hAnsi="Arial" w:cs="Arial"/>
        </w:rPr>
        <w:t xml:space="preserve"> </w:t>
      </w:r>
    </w:p>
    <w:p w:rsidR="00C845A7" w:rsidRPr="00F5658D" w:rsidRDefault="00C845A7" w:rsidP="00C845A7">
      <w:pPr>
        <w:pStyle w:val="ListParagraph"/>
        <w:contextualSpacing w:val="0"/>
        <w:jc w:val="both"/>
        <w:rPr>
          <w:rFonts w:ascii="Arial" w:hAnsi="Arial" w:cs="Arial"/>
        </w:rPr>
      </w:pPr>
      <w:r w:rsidRPr="00F5658D">
        <w:rPr>
          <w:rFonts w:ascii="Arial" w:hAnsi="Arial" w:cs="Arial"/>
        </w:rPr>
        <w:t>The Authority</w:t>
      </w:r>
      <w:r w:rsidR="0083546E">
        <w:rPr>
          <w:rFonts w:ascii="Arial" w:hAnsi="Arial" w:cs="Arial"/>
        </w:rPr>
        <w:t xml:space="preserve"> has an increasing C.F.R. due to the capital programme but minimal investments and will therefore be required to borrow up to £94</w:t>
      </w:r>
      <w:r w:rsidR="0068690A">
        <w:rPr>
          <w:rFonts w:ascii="Arial" w:hAnsi="Arial" w:cs="Arial"/>
        </w:rPr>
        <w:t xml:space="preserve"> </w:t>
      </w:r>
      <w:r w:rsidR="0083546E">
        <w:rPr>
          <w:rFonts w:ascii="Arial" w:hAnsi="Arial" w:cs="Arial"/>
        </w:rPr>
        <w:t>million over the forecast period.</w:t>
      </w:r>
      <w:r w:rsidRPr="00F5658D">
        <w:rPr>
          <w:rFonts w:ascii="Arial" w:hAnsi="Arial" w:cs="Arial"/>
        </w:rPr>
        <w:t xml:space="preserve"> </w:t>
      </w:r>
    </w:p>
    <w:p w:rsidR="006553C4" w:rsidRPr="00F5658D" w:rsidRDefault="00026248" w:rsidP="0083546E">
      <w:pPr>
        <w:pStyle w:val="ListParagraph"/>
        <w:ind w:left="0"/>
        <w:contextualSpacing w:val="0"/>
        <w:jc w:val="both"/>
        <w:rPr>
          <w:rFonts w:ascii="Arial" w:hAnsi="Arial" w:cs="Arial"/>
          <w:color w:val="AF173B"/>
        </w:rPr>
      </w:pPr>
      <w:r w:rsidRPr="00F5658D">
        <w:rPr>
          <w:rFonts w:ascii="Arial" w:hAnsi="Arial" w:cs="Arial"/>
        </w:rPr>
        <w:t xml:space="preserve">CIPFA’s </w:t>
      </w:r>
      <w:r w:rsidRPr="00F5658D">
        <w:rPr>
          <w:rFonts w:ascii="Arial" w:hAnsi="Arial" w:cs="Arial"/>
          <w:i/>
        </w:rPr>
        <w:t>Prudential Code for Capital Finance in Local Authorities</w:t>
      </w:r>
      <w:r w:rsidRPr="00F5658D">
        <w:rPr>
          <w:rFonts w:ascii="Arial" w:hAnsi="Arial" w:cs="Arial"/>
        </w:rPr>
        <w:t xml:space="preserve"> recommends that the Authority’s total debt should be lower than its highest forecast CFR over the next three years.  Table 1 shows that the Authority expects to comply with this recommendation during 201</w:t>
      </w:r>
      <w:r w:rsidR="002E3175" w:rsidRPr="00F5658D">
        <w:rPr>
          <w:rFonts w:ascii="Arial" w:hAnsi="Arial" w:cs="Arial"/>
        </w:rPr>
        <w:t>6</w:t>
      </w:r>
      <w:r w:rsidRPr="00F5658D">
        <w:rPr>
          <w:rFonts w:ascii="Arial" w:hAnsi="Arial" w:cs="Arial"/>
        </w:rPr>
        <w:t>/1</w:t>
      </w:r>
      <w:r w:rsidR="002E3175" w:rsidRPr="00F5658D">
        <w:rPr>
          <w:rFonts w:ascii="Arial" w:hAnsi="Arial" w:cs="Arial"/>
        </w:rPr>
        <w:t>7</w:t>
      </w:r>
      <w:r w:rsidRPr="00F5658D">
        <w:rPr>
          <w:rFonts w:ascii="Arial" w:hAnsi="Arial" w:cs="Arial"/>
        </w:rPr>
        <w:t xml:space="preserve">.  </w:t>
      </w:r>
    </w:p>
    <w:p w:rsidR="00202E2E" w:rsidRPr="00F5658D" w:rsidRDefault="00202E2E" w:rsidP="009F23E2">
      <w:pPr>
        <w:pStyle w:val="ListParagraph"/>
        <w:ind w:left="0"/>
        <w:contextualSpacing w:val="0"/>
        <w:jc w:val="both"/>
        <w:rPr>
          <w:rFonts w:ascii="Arial" w:hAnsi="Arial" w:cs="Arial"/>
          <w:b/>
          <w:u w:val="single"/>
        </w:rPr>
      </w:pPr>
    </w:p>
    <w:p w:rsidR="00405053" w:rsidRPr="00F5658D" w:rsidRDefault="007C5471" w:rsidP="004B25A6">
      <w:pPr>
        <w:pStyle w:val="ListParagraph"/>
        <w:keepNext/>
        <w:widowControl w:val="0"/>
        <w:ind w:left="0"/>
        <w:contextualSpacing w:val="0"/>
        <w:jc w:val="both"/>
        <w:rPr>
          <w:rFonts w:ascii="Arial" w:hAnsi="Arial" w:cs="Arial"/>
          <w:b/>
          <w:u w:val="single"/>
        </w:rPr>
      </w:pPr>
      <w:r w:rsidRPr="00F5658D">
        <w:rPr>
          <w:rFonts w:ascii="Arial" w:hAnsi="Arial" w:cs="Arial"/>
          <w:b/>
          <w:u w:val="single"/>
        </w:rPr>
        <w:t>Borrowing Strategy</w:t>
      </w:r>
    </w:p>
    <w:p w:rsidR="0041798A" w:rsidRPr="0082298E" w:rsidRDefault="0041798A" w:rsidP="00FD6480">
      <w:pPr>
        <w:pStyle w:val="ListParagraph"/>
        <w:ind w:left="0"/>
        <w:contextualSpacing w:val="0"/>
        <w:jc w:val="both"/>
        <w:rPr>
          <w:rFonts w:ascii="Arial" w:hAnsi="Arial" w:cs="Arial"/>
        </w:rPr>
      </w:pPr>
      <w:r w:rsidRPr="00F5658D">
        <w:rPr>
          <w:rFonts w:ascii="Arial" w:hAnsi="Arial" w:cs="Arial"/>
        </w:rPr>
        <w:t xml:space="preserve">The </w:t>
      </w:r>
      <w:r w:rsidR="008F4202" w:rsidRPr="00F5658D">
        <w:rPr>
          <w:rFonts w:ascii="Arial" w:hAnsi="Arial" w:cs="Arial"/>
        </w:rPr>
        <w:t>Authority</w:t>
      </w:r>
      <w:r w:rsidRPr="00F5658D">
        <w:rPr>
          <w:rFonts w:ascii="Arial" w:hAnsi="Arial" w:cs="Arial"/>
        </w:rPr>
        <w:t xml:space="preserve"> currently holds</w:t>
      </w:r>
      <w:r w:rsidR="0083546E">
        <w:rPr>
          <w:rFonts w:ascii="Arial" w:hAnsi="Arial" w:cs="Arial"/>
        </w:rPr>
        <w:t xml:space="preserve"> (February 2016)</w:t>
      </w:r>
      <w:r w:rsidRPr="00F5658D">
        <w:rPr>
          <w:rFonts w:ascii="Arial" w:hAnsi="Arial" w:cs="Arial"/>
        </w:rPr>
        <w:t xml:space="preserve"> </w:t>
      </w:r>
      <w:r w:rsidR="00243E06" w:rsidRPr="00F5658D">
        <w:rPr>
          <w:rFonts w:ascii="Arial" w:hAnsi="Arial" w:cs="Arial"/>
        </w:rPr>
        <w:t>£</w:t>
      </w:r>
      <w:r w:rsidR="0083546E" w:rsidRPr="0083546E">
        <w:rPr>
          <w:rFonts w:ascii="Arial" w:hAnsi="Arial" w:cs="Arial"/>
        </w:rPr>
        <w:t>52</w:t>
      </w:r>
      <w:r w:rsidR="00243E06" w:rsidRPr="00F5658D">
        <w:rPr>
          <w:rFonts w:ascii="Arial" w:hAnsi="Arial" w:cs="Arial"/>
        </w:rPr>
        <w:t xml:space="preserve"> </w:t>
      </w:r>
      <w:r w:rsidR="0083546E">
        <w:rPr>
          <w:rFonts w:ascii="Arial" w:hAnsi="Arial" w:cs="Arial"/>
        </w:rPr>
        <w:t>million of loans, a</w:t>
      </w:r>
      <w:r w:rsidRPr="00F5658D">
        <w:rPr>
          <w:rFonts w:ascii="Arial" w:hAnsi="Arial" w:cs="Arial"/>
        </w:rPr>
        <w:t xml:space="preserve"> </w:t>
      </w:r>
      <w:r w:rsidR="009C1F3C" w:rsidRPr="0083546E">
        <w:rPr>
          <w:rFonts w:ascii="Arial" w:hAnsi="Arial" w:cs="Arial"/>
        </w:rPr>
        <w:t>decr</w:t>
      </w:r>
      <w:r w:rsidR="0083546E">
        <w:rPr>
          <w:rFonts w:ascii="Arial" w:hAnsi="Arial" w:cs="Arial"/>
        </w:rPr>
        <w:t>ease</w:t>
      </w:r>
      <w:r w:rsidRPr="00F5658D">
        <w:rPr>
          <w:rFonts w:ascii="Arial" w:hAnsi="Arial" w:cs="Arial"/>
        </w:rPr>
        <w:t xml:space="preserve"> of </w:t>
      </w:r>
      <w:r w:rsidR="00243E06" w:rsidRPr="0083546E">
        <w:rPr>
          <w:rFonts w:ascii="Arial" w:hAnsi="Arial" w:cs="Arial"/>
        </w:rPr>
        <w:t>£</w:t>
      </w:r>
      <w:r w:rsidR="0083546E" w:rsidRPr="0083546E">
        <w:rPr>
          <w:rFonts w:ascii="Arial" w:hAnsi="Arial" w:cs="Arial"/>
        </w:rPr>
        <w:t>4.7</w:t>
      </w:r>
      <w:r w:rsidR="00243E06" w:rsidRPr="00F5658D">
        <w:rPr>
          <w:rFonts w:ascii="Arial" w:hAnsi="Arial" w:cs="Arial"/>
        </w:rPr>
        <w:t xml:space="preserve"> </w:t>
      </w:r>
      <w:r w:rsidRPr="00F5658D">
        <w:rPr>
          <w:rFonts w:ascii="Arial" w:hAnsi="Arial" w:cs="Arial"/>
        </w:rPr>
        <w:t xml:space="preserve">million on the </w:t>
      </w:r>
      <w:r w:rsidR="0083546E">
        <w:rPr>
          <w:rFonts w:ascii="Arial" w:hAnsi="Arial" w:cs="Arial"/>
        </w:rPr>
        <w:t>figure as at 31</w:t>
      </w:r>
      <w:r w:rsidR="0083546E" w:rsidRPr="0083546E">
        <w:rPr>
          <w:rFonts w:ascii="Arial" w:hAnsi="Arial" w:cs="Arial"/>
          <w:vertAlign w:val="superscript"/>
        </w:rPr>
        <w:t>st</w:t>
      </w:r>
      <w:r w:rsidR="0083546E">
        <w:rPr>
          <w:rFonts w:ascii="Arial" w:hAnsi="Arial" w:cs="Arial"/>
        </w:rPr>
        <w:t xml:space="preserve"> March 2015, </w:t>
      </w:r>
      <w:r w:rsidRPr="00F5658D">
        <w:rPr>
          <w:rFonts w:ascii="Arial" w:hAnsi="Arial" w:cs="Arial"/>
        </w:rPr>
        <w:t>as part of its strategy for funding previ</w:t>
      </w:r>
      <w:r w:rsidR="002A6A8D" w:rsidRPr="00F5658D">
        <w:rPr>
          <w:rFonts w:ascii="Arial" w:hAnsi="Arial" w:cs="Arial"/>
        </w:rPr>
        <w:t xml:space="preserve">ous years’ capital programmes.  The balance sheet forecast in table 1 shows that the </w:t>
      </w:r>
      <w:r w:rsidR="002A6A8D" w:rsidRPr="0083546E">
        <w:rPr>
          <w:rFonts w:ascii="Arial" w:hAnsi="Arial" w:cs="Arial"/>
        </w:rPr>
        <w:t xml:space="preserve">Authority expects to borrow </w:t>
      </w:r>
      <w:r w:rsidR="00AA5358" w:rsidRPr="0083546E">
        <w:rPr>
          <w:rFonts w:ascii="Arial" w:hAnsi="Arial" w:cs="Arial"/>
        </w:rPr>
        <w:t xml:space="preserve">up to </w:t>
      </w:r>
      <w:r w:rsidR="002A6A8D" w:rsidRPr="0083546E">
        <w:rPr>
          <w:rFonts w:ascii="Arial" w:hAnsi="Arial" w:cs="Arial"/>
        </w:rPr>
        <w:t>£</w:t>
      </w:r>
      <w:r w:rsidR="0083546E" w:rsidRPr="0083546E">
        <w:rPr>
          <w:rFonts w:ascii="Arial" w:hAnsi="Arial" w:cs="Arial"/>
        </w:rPr>
        <w:t xml:space="preserve">5.4 </w:t>
      </w:r>
      <w:r w:rsidR="00962A72" w:rsidRPr="0083546E">
        <w:rPr>
          <w:rFonts w:ascii="Arial" w:hAnsi="Arial" w:cs="Arial"/>
        </w:rPr>
        <w:t>million</w:t>
      </w:r>
      <w:r w:rsidR="0083546E" w:rsidRPr="0083546E">
        <w:rPr>
          <w:rFonts w:ascii="Arial" w:hAnsi="Arial" w:cs="Arial"/>
        </w:rPr>
        <w:t xml:space="preserve"> gross in 2015/2016 and £27.6 million gross </w:t>
      </w:r>
      <w:r w:rsidR="002A6A8D" w:rsidRPr="0083546E">
        <w:rPr>
          <w:rFonts w:ascii="Arial" w:hAnsi="Arial" w:cs="Arial"/>
        </w:rPr>
        <w:t>in 201</w:t>
      </w:r>
      <w:r w:rsidR="002E3175" w:rsidRPr="0083546E">
        <w:rPr>
          <w:rFonts w:ascii="Arial" w:hAnsi="Arial" w:cs="Arial"/>
        </w:rPr>
        <w:t>6</w:t>
      </w:r>
      <w:r w:rsidR="002A6A8D" w:rsidRPr="0083546E">
        <w:rPr>
          <w:rFonts w:ascii="Arial" w:hAnsi="Arial" w:cs="Arial"/>
        </w:rPr>
        <w:t>/1</w:t>
      </w:r>
      <w:r w:rsidR="002E3175" w:rsidRPr="0083546E">
        <w:rPr>
          <w:rFonts w:ascii="Arial" w:hAnsi="Arial" w:cs="Arial"/>
        </w:rPr>
        <w:t>7</w:t>
      </w:r>
      <w:r w:rsidR="002A6A8D" w:rsidRPr="00F5658D">
        <w:rPr>
          <w:rFonts w:ascii="Arial" w:hAnsi="Arial" w:cs="Arial"/>
        </w:rPr>
        <w:t>.</w:t>
      </w:r>
      <w:r w:rsidR="00BD72CD" w:rsidRPr="00F5658D">
        <w:rPr>
          <w:rFonts w:ascii="Arial" w:hAnsi="Arial" w:cs="Arial"/>
        </w:rPr>
        <w:t xml:space="preserve">  </w:t>
      </w:r>
      <w:r w:rsidR="00FA5BB4" w:rsidRPr="00F5658D">
        <w:rPr>
          <w:rFonts w:ascii="Arial" w:hAnsi="Arial" w:cs="Arial"/>
        </w:rPr>
        <w:t>T</w:t>
      </w:r>
      <w:r w:rsidR="00BD72CD" w:rsidRPr="00F5658D">
        <w:rPr>
          <w:rFonts w:ascii="Arial" w:hAnsi="Arial" w:cs="Arial"/>
        </w:rPr>
        <w:t>he Authority may</w:t>
      </w:r>
      <w:r w:rsidR="0083546E">
        <w:rPr>
          <w:rFonts w:ascii="Arial" w:hAnsi="Arial" w:cs="Arial"/>
          <w:color w:val="AF173B"/>
        </w:rPr>
        <w:t xml:space="preserve"> </w:t>
      </w:r>
      <w:r w:rsidR="00FA5BB4" w:rsidRPr="0082298E">
        <w:rPr>
          <w:rFonts w:ascii="Arial" w:hAnsi="Arial" w:cs="Arial"/>
        </w:rPr>
        <w:t xml:space="preserve">also </w:t>
      </w:r>
      <w:r w:rsidR="00BD72CD" w:rsidRPr="0082298E">
        <w:rPr>
          <w:rFonts w:ascii="Arial" w:hAnsi="Arial" w:cs="Arial"/>
        </w:rPr>
        <w:t xml:space="preserve">borrow </w:t>
      </w:r>
      <w:r w:rsidR="00FA5BB4" w:rsidRPr="0082298E">
        <w:rPr>
          <w:rFonts w:ascii="Arial" w:hAnsi="Arial" w:cs="Arial"/>
        </w:rPr>
        <w:t>additional sums</w:t>
      </w:r>
      <w:r w:rsidR="0083546E" w:rsidRPr="0082298E">
        <w:rPr>
          <w:rFonts w:ascii="Arial" w:hAnsi="Arial" w:cs="Arial"/>
        </w:rPr>
        <w:t xml:space="preserve"> </w:t>
      </w:r>
      <w:r w:rsidR="00BD72CD" w:rsidRPr="0082298E">
        <w:rPr>
          <w:rFonts w:ascii="Arial" w:hAnsi="Arial" w:cs="Arial"/>
        </w:rPr>
        <w:t>to pre-fund future years’ requirements</w:t>
      </w:r>
      <w:r w:rsidR="00FA5BB4" w:rsidRPr="0082298E">
        <w:rPr>
          <w:rFonts w:ascii="Arial" w:hAnsi="Arial" w:cs="Arial"/>
        </w:rPr>
        <w:t>, providing this does not exceed</w:t>
      </w:r>
      <w:r w:rsidR="00BD72CD" w:rsidRPr="0082298E">
        <w:rPr>
          <w:rFonts w:ascii="Arial" w:hAnsi="Arial" w:cs="Arial"/>
        </w:rPr>
        <w:t xml:space="preserve"> the </w:t>
      </w:r>
      <w:r w:rsidR="0017508D" w:rsidRPr="0082298E">
        <w:rPr>
          <w:rFonts w:ascii="Arial" w:hAnsi="Arial" w:cs="Arial"/>
        </w:rPr>
        <w:t>a</w:t>
      </w:r>
      <w:r w:rsidR="00BD72CD" w:rsidRPr="0082298E">
        <w:rPr>
          <w:rFonts w:ascii="Arial" w:hAnsi="Arial" w:cs="Arial"/>
        </w:rPr>
        <w:t xml:space="preserve">uthorised </w:t>
      </w:r>
      <w:r w:rsidR="0017508D" w:rsidRPr="0082298E">
        <w:rPr>
          <w:rFonts w:ascii="Arial" w:hAnsi="Arial" w:cs="Arial"/>
        </w:rPr>
        <w:t>l</w:t>
      </w:r>
      <w:r w:rsidR="00BD72CD" w:rsidRPr="0082298E">
        <w:rPr>
          <w:rFonts w:ascii="Arial" w:hAnsi="Arial" w:cs="Arial"/>
        </w:rPr>
        <w:t xml:space="preserve">imit </w:t>
      </w:r>
      <w:r w:rsidR="0017508D" w:rsidRPr="0082298E">
        <w:rPr>
          <w:rFonts w:ascii="Arial" w:hAnsi="Arial" w:cs="Arial"/>
        </w:rPr>
        <w:t xml:space="preserve">for borrowing </w:t>
      </w:r>
      <w:r w:rsidR="00BD72CD" w:rsidRPr="0082298E">
        <w:rPr>
          <w:rFonts w:ascii="Arial" w:hAnsi="Arial" w:cs="Arial"/>
        </w:rPr>
        <w:t>of £</w:t>
      </w:r>
      <w:r w:rsidR="0082298E" w:rsidRPr="0082298E">
        <w:rPr>
          <w:rFonts w:ascii="Arial" w:hAnsi="Arial" w:cs="Arial"/>
        </w:rPr>
        <w:t>81.2</w:t>
      </w:r>
      <w:r w:rsidR="00BD72CD" w:rsidRPr="0082298E">
        <w:rPr>
          <w:rFonts w:ascii="Arial" w:hAnsi="Arial" w:cs="Arial"/>
        </w:rPr>
        <w:t xml:space="preserve"> million</w:t>
      </w:r>
      <w:r w:rsidR="0082298E" w:rsidRPr="0082298E">
        <w:rPr>
          <w:rFonts w:ascii="Arial" w:hAnsi="Arial" w:cs="Arial"/>
        </w:rPr>
        <w:t xml:space="preserve"> in 2016/2017</w:t>
      </w:r>
      <w:r w:rsidR="00FA5BB4" w:rsidRPr="0082298E">
        <w:rPr>
          <w:rFonts w:ascii="Arial" w:hAnsi="Arial" w:cs="Arial"/>
        </w:rPr>
        <w:t>.</w:t>
      </w:r>
    </w:p>
    <w:p w:rsidR="00132091" w:rsidRPr="00F5658D" w:rsidRDefault="00D43FFA" w:rsidP="00FD6480">
      <w:pPr>
        <w:pStyle w:val="ListParagraph"/>
        <w:ind w:left="0"/>
        <w:contextualSpacing w:val="0"/>
        <w:jc w:val="both"/>
        <w:rPr>
          <w:rFonts w:ascii="Arial" w:hAnsi="Arial" w:cs="Arial"/>
        </w:rPr>
      </w:pPr>
      <w:r w:rsidRPr="00F5658D">
        <w:rPr>
          <w:rFonts w:ascii="Arial" w:hAnsi="Arial" w:cs="Arial"/>
          <w:b/>
        </w:rPr>
        <w:lastRenderedPageBreak/>
        <w:t>Objectives:</w:t>
      </w:r>
      <w:r w:rsidRPr="00F5658D">
        <w:rPr>
          <w:rFonts w:ascii="Arial" w:hAnsi="Arial" w:cs="Arial"/>
        </w:rPr>
        <w:t xml:space="preserve"> </w:t>
      </w:r>
      <w:r w:rsidR="00272A76" w:rsidRPr="00F5658D">
        <w:rPr>
          <w:rFonts w:ascii="Arial" w:hAnsi="Arial" w:cs="Arial"/>
        </w:rPr>
        <w:t xml:space="preserve">The Authority’s </w:t>
      </w:r>
      <w:r w:rsidR="00202E2E" w:rsidRPr="00F5658D">
        <w:rPr>
          <w:rFonts w:ascii="Arial" w:hAnsi="Arial" w:cs="Arial"/>
        </w:rPr>
        <w:t xml:space="preserve">chief </w:t>
      </w:r>
      <w:r w:rsidR="00272A76" w:rsidRPr="00F5658D">
        <w:rPr>
          <w:rFonts w:ascii="Arial" w:hAnsi="Arial" w:cs="Arial"/>
        </w:rPr>
        <w:t>objective</w:t>
      </w:r>
      <w:r w:rsidR="00132091" w:rsidRPr="00F5658D">
        <w:rPr>
          <w:rFonts w:ascii="Arial" w:hAnsi="Arial" w:cs="Arial"/>
        </w:rPr>
        <w:t xml:space="preserve"> </w:t>
      </w:r>
      <w:r w:rsidR="00272A76" w:rsidRPr="00F5658D">
        <w:rPr>
          <w:rFonts w:ascii="Arial" w:hAnsi="Arial" w:cs="Arial"/>
        </w:rPr>
        <w:t>when borrowing money is to strike an appropriately low risk balance between securing low interest cost</w:t>
      </w:r>
      <w:r w:rsidR="008135E6" w:rsidRPr="00F5658D">
        <w:rPr>
          <w:rFonts w:ascii="Arial" w:hAnsi="Arial" w:cs="Arial"/>
        </w:rPr>
        <w:t>s</w:t>
      </w:r>
      <w:r w:rsidR="00272A76" w:rsidRPr="00F5658D">
        <w:rPr>
          <w:rFonts w:ascii="Arial" w:hAnsi="Arial" w:cs="Arial"/>
        </w:rPr>
        <w:t xml:space="preserve"> and </w:t>
      </w:r>
      <w:r w:rsidR="008135E6" w:rsidRPr="00F5658D">
        <w:rPr>
          <w:rFonts w:ascii="Arial" w:hAnsi="Arial" w:cs="Arial"/>
        </w:rPr>
        <w:t>achieving certainty</w:t>
      </w:r>
      <w:r w:rsidR="00272A76" w:rsidRPr="00F5658D">
        <w:rPr>
          <w:rFonts w:ascii="Arial" w:hAnsi="Arial" w:cs="Arial"/>
        </w:rPr>
        <w:t xml:space="preserve"> </w:t>
      </w:r>
      <w:r w:rsidR="002E3175" w:rsidRPr="00F5658D">
        <w:rPr>
          <w:rFonts w:ascii="Arial" w:hAnsi="Arial" w:cs="Arial"/>
        </w:rPr>
        <w:t xml:space="preserve">of those costs </w:t>
      </w:r>
      <w:r w:rsidR="00272A76" w:rsidRPr="00F5658D">
        <w:rPr>
          <w:rFonts w:ascii="Arial" w:hAnsi="Arial" w:cs="Arial"/>
        </w:rPr>
        <w:t xml:space="preserve">over the period for which funds are required.  </w:t>
      </w:r>
      <w:r w:rsidR="00202E2E" w:rsidRPr="00F5658D">
        <w:rPr>
          <w:rFonts w:ascii="Arial" w:hAnsi="Arial" w:cs="Arial"/>
        </w:rPr>
        <w:t>The f</w:t>
      </w:r>
      <w:r w:rsidR="00272A76" w:rsidRPr="00F5658D">
        <w:rPr>
          <w:rFonts w:ascii="Arial" w:hAnsi="Arial" w:cs="Arial"/>
        </w:rPr>
        <w:t>lexibility</w:t>
      </w:r>
      <w:r w:rsidR="00202E2E" w:rsidRPr="00F5658D">
        <w:rPr>
          <w:rFonts w:ascii="Arial" w:hAnsi="Arial" w:cs="Arial"/>
        </w:rPr>
        <w:t xml:space="preserve"> to renegotiate loans should the Authority’s long-term plans change is a secondary objective.</w:t>
      </w:r>
    </w:p>
    <w:p w:rsidR="00816303" w:rsidRPr="0082298E" w:rsidRDefault="00D43FFA" w:rsidP="00354898">
      <w:pPr>
        <w:pStyle w:val="ListParagraph"/>
        <w:ind w:left="0"/>
        <w:contextualSpacing w:val="0"/>
        <w:jc w:val="both"/>
        <w:rPr>
          <w:rFonts w:ascii="Arial" w:hAnsi="Arial" w:cs="Arial"/>
          <w:b/>
        </w:rPr>
      </w:pPr>
      <w:r w:rsidRPr="00F5658D">
        <w:rPr>
          <w:rFonts w:ascii="Arial" w:hAnsi="Arial" w:cs="Arial"/>
          <w:b/>
        </w:rPr>
        <w:t>Strategy</w:t>
      </w:r>
      <w:r w:rsidR="0082298E">
        <w:rPr>
          <w:rFonts w:ascii="Arial" w:hAnsi="Arial" w:cs="Arial"/>
          <w:b/>
        </w:rPr>
        <w:t xml:space="preserve">: </w:t>
      </w:r>
      <w:r w:rsidR="00816303" w:rsidRPr="00F5658D">
        <w:rPr>
          <w:rFonts w:ascii="Arial" w:hAnsi="Arial" w:cs="Arial"/>
        </w:rPr>
        <w:t xml:space="preserve">Given the significant cuts to public expenditure and in particular to local government funding, the Authority’s borrowing strategy continues to address the key issue of affordability without compromising the longer-term stability of the debt portfolio. </w:t>
      </w:r>
      <w:r w:rsidR="00354898" w:rsidRPr="00F5658D">
        <w:rPr>
          <w:rFonts w:ascii="Arial" w:hAnsi="Arial" w:cs="Arial"/>
        </w:rPr>
        <w:t xml:space="preserve">With short-term interest rates currently much lower than long-term rates, it is likely to be more cost effective in the short-term to either </w:t>
      </w:r>
      <w:r w:rsidR="00C92F60" w:rsidRPr="00F5658D">
        <w:rPr>
          <w:rFonts w:ascii="Arial" w:hAnsi="Arial" w:cs="Arial"/>
        </w:rPr>
        <w:t>use internal resources</w:t>
      </w:r>
      <w:r w:rsidR="00816303" w:rsidRPr="00F5658D">
        <w:rPr>
          <w:rFonts w:ascii="Arial" w:hAnsi="Arial" w:cs="Arial"/>
        </w:rPr>
        <w:t xml:space="preserve">, </w:t>
      </w:r>
      <w:r w:rsidR="00354898" w:rsidRPr="00F5658D">
        <w:rPr>
          <w:rFonts w:ascii="Arial" w:hAnsi="Arial" w:cs="Arial"/>
        </w:rPr>
        <w:t xml:space="preserve">or to borrow short-term loans instead.  </w:t>
      </w:r>
    </w:p>
    <w:p w:rsidR="00354898" w:rsidRPr="00F5658D" w:rsidRDefault="00816303" w:rsidP="00AE4AA1">
      <w:pPr>
        <w:jc w:val="both"/>
        <w:rPr>
          <w:rFonts w:ascii="Arial" w:hAnsi="Arial" w:cs="Arial"/>
        </w:rPr>
      </w:pPr>
      <w:r w:rsidRPr="00F5658D">
        <w:rPr>
          <w:rFonts w:ascii="Arial" w:hAnsi="Arial" w:cs="Arial"/>
        </w:rPr>
        <w:t xml:space="preserve">By doing so, the Authority is able to </w:t>
      </w:r>
      <w:r w:rsidR="008135E6" w:rsidRPr="00F5658D">
        <w:rPr>
          <w:rFonts w:ascii="Arial" w:hAnsi="Arial" w:cs="Arial"/>
        </w:rPr>
        <w:t>reduc</w:t>
      </w:r>
      <w:r w:rsidRPr="00F5658D">
        <w:rPr>
          <w:rFonts w:ascii="Arial" w:hAnsi="Arial" w:cs="Arial"/>
        </w:rPr>
        <w:t xml:space="preserve">e </w:t>
      </w:r>
      <w:r w:rsidR="008135E6" w:rsidRPr="00F5658D">
        <w:rPr>
          <w:rFonts w:ascii="Arial" w:hAnsi="Arial" w:cs="Arial"/>
        </w:rPr>
        <w:t xml:space="preserve">net </w:t>
      </w:r>
      <w:r w:rsidRPr="00F5658D">
        <w:rPr>
          <w:rFonts w:ascii="Arial" w:hAnsi="Arial" w:cs="Arial"/>
        </w:rPr>
        <w:t>borrowing costs (</w:t>
      </w:r>
      <w:r w:rsidR="008135E6" w:rsidRPr="00F5658D">
        <w:rPr>
          <w:rFonts w:ascii="Arial" w:hAnsi="Arial" w:cs="Arial"/>
        </w:rPr>
        <w:t>despite</w:t>
      </w:r>
      <w:r w:rsidRPr="00F5658D">
        <w:rPr>
          <w:rFonts w:ascii="Arial" w:hAnsi="Arial" w:cs="Arial"/>
        </w:rPr>
        <w:t xml:space="preserve"> foregone investment income) and reduce overall treasury risk. The benefits </w:t>
      </w:r>
      <w:r w:rsidRPr="0082298E">
        <w:rPr>
          <w:rFonts w:ascii="Arial" w:hAnsi="Arial" w:cs="Arial"/>
        </w:rPr>
        <w:t>of internal</w:t>
      </w:r>
      <w:r w:rsidRPr="00F5658D">
        <w:rPr>
          <w:rFonts w:ascii="Arial" w:hAnsi="Arial" w:cs="Arial"/>
        </w:rPr>
        <w:t xml:space="preserve"> borrowing will </w:t>
      </w:r>
      <w:r w:rsidR="00867D1A" w:rsidRPr="00F5658D">
        <w:rPr>
          <w:rFonts w:ascii="Arial" w:hAnsi="Arial" w:cs="Arial"/>
        </w:rPr>
        <w:t xml:space="preserve">be </w:t>
      </w:r>
      <w:r w:rsidRPr="00F5658D">
        <w:rPr>
          <w:rFonts w:ascii="Arial" w:hAnsi="Arial" w:cs="Arial"/>
        </w:rPr>
        <w:t>monitored regularly against the potential for incurring additional costs by deferring borrowing into future years when long-term</w:t>
      </w:r>
      <w:r w:rsidR="00891CA1" w:rsidRPr="00F5658D">
        <w:rPr>
          <w:rFonts w:ascii="Arial" w:hAnsi="Arial" w:cs="Arial"/>
        </w:rPr>
        <w:t xml:space="preserve"> borrowing</w:t>
      </w:r>
      <w:r w:rsidRPr="00F5658D">
        <w:rPr>
          <w:rFonts w:ascii="Arial" w:hAnsi="Arial" w:cs="Arial"/>
        </w:rPr>
        <w:t xml:space="preserve"> rates are forecast to rise.  Arlingclose will assist the Authority with this ‘cost of carry’ </w:t>
      </w:r>
      <w:r w:rsidR="00891CA1" w:rsidRPr="00F5658D">
        <w:rPr>
          <w:rFonts w:ascii="Arial" w:hAnsi="Arial" w:cs="Arial"/>
        </w:rPr>
        <w:t xml:space="preserve">and </w:t>
      </w:r>
      <w:r w:rsidRPr="00F5658D">
        <w:rPr>
          <w:rFonts w:ascii="Arial" w:hAnsi="Arial" w:cs="Arial"/>
        </w:rPr>
        <w:t xml:space="preserve">breakeven analysis. </w:t>
      </w:r>
      <w:r w:rsidR="00AE4AA1" w:rsidRPr="00F5658D">
        <w:rPr>
          <w:rFonts w:ascii="Arial" w:hAnsi="Arial" w:cs="Arial"/>
        </w:rPr>
        <w:t xml:space="preserve">Its output may determine </w:t>
      </w:r>
      <w:r w:rsidR="00FA5BB4" w:rsidRPr="00F5658D">
        <w:rPr>
          <w:rFonts w:ascii="Arial" w:hAnsi="Arial" w:cs="Arial"/>
        </w:rPr>
        <w:t xml:space="preserve">whether </w:t>
      </w:r>
      <w:r w:rsidR="00AE4AA1" w:rsidRPr="00F5658D">
        <w:rPr>
          <w:rFonts w:ascii="Arial" w:hAnsi="Arial" w:cs="Arial"/>
        </w:rPr>
        <w:t xml:space="preserve">the Authority </w:t>
      </w:r>
      <w:r w:rsidR="00354898" w:rsidRPr="00F5658D">
        <w:rPr>
          <w:rFonts w:ascii="Arial" w:hAnsi="Arial" w:cs="Arial"/>
        </w:rPr>
        <w:t>borrow</w:t>
      </w:r>
      <w:r w:rsidR="0097520C" w:rsidRPr="00F5658D">
        <w:rPr>
          <w:rFonts w:ascii="Arial" w:hAnsi="Arial" w:cs="Arial"/>
        </w:rPr>
        <w:t>s</w:t>
      </w:r>
      <w:r w:rsidR="00354898" w:rsidRPr="00F5658D">
        <w:rPr>
          <w:rFonts w:ascii="Arial" w:hAnsi="Arial" w:cs="Arial"/>
        </w:rPr>
        <w:t xml:space="preserve"> additional sums at long-term fixed rates in 201</w:t>
      </w:r>
      <w:r w:rsidR="002E3175" w:rsidRPr="00F5658D">
        <w:rPr>
          <w:rFonts w:ascii="Arial" w:hAnsi="Arial" w:cs="Arial"/>
        </w:rPr>
        <w:t>6</w:t>
      </w:r>
      <w:r w:rsidR="00354898" w:rsidRPr="00F5658D">
        <w:rPr>
          <w:rFonts w:ascii="Arial" w:hAnsi="Arial" w:cs="Arial"/>
        </w:rPr>
        <w:t>/1</w:t>
      </w:r>
      <w:r w:rsidR="002E3175" w:rsidRPr="00F5658D">
        <w:rPr>
          <w:rFonts w:ascii="Arial" w:hAnsi="Arial" w:cs="Arial"/>
        </w:rPr>
        <w:t>7</w:t>
      </w:r>
      <w:r w:rsidR="00354898" w:rsidRPr="00F5658D">
        <w:rPr>
          <w:rFonts w:ascii="Arial" w:hAnsi="Arial" w:cs="Arial"/>
        </w:rPr>
        <w:t xml:space="preserve"> with a view to keeping future interest costs low, even if this causes additional cost in the short-term.</w:t>
      </w:r>
    </w:p>
    <w:p w:rsidR="002E3175" w:rsidRPr="00F5658D" w:rsidRDefault="002E3175" w:rsidP="00AE4AA1">
      <w:pPr>
        <w:jc w:val="both"/>
        <w:rPr>
          <w:rFonts w:ascii="Arial" w:hAnsi="Arial" w:cs="Arial"/>
        </w:rPr>
      </w:pPr>
      <w:r w:rsidRPr="00F5658D">
        <w:rPr>
          <w:rFonts w:ascii="Arial" w:hAnsi="Arial" w:cs="Arial"/>
        </w:rPr>
        <w:t xml:space="preserve">Alternatively, the Authority may arrange </w:t>
      </w:r>
      <w:r w:rsidRPr="0082298E">
        <w:rPr>
          <w:rFonts w:ascii="Arial" w:hAnsi="Arial" w:cs="Arial"/>
        </w:rPr>
        <w:t>forward starting loans</w:t>
      </w:r>
      <w:r w:rsidRPr="00F5658D">
        <w:rPr>
          <w:rFonts w:ascii="Arial" w:hAnsi="Arial" w:cs="Arial"/>
        </w:rPr>
        <w:t xml:space="preserve"> during 2016/17, where the interest rate is fixed in advance, but the cash is received in later years. This would enable certainty of cost to be achieved without suffering a cost of carry in the intervening period.</w:t>
      </w:r>
    </w:p>
    <w:p w:rsidR="0041798A" w:rsidRPr="00F5658D" w:rsidRDefault="0041798A" w:rsidP="00FD6480">
      <w:pPr>
        <w:pStyle w:val="ListParagraph"/>
        <w:ind w:left="0"/>
        <w:contextualSpacing w:val="0"/>
        <w:jc w:val="both"/>
        <w:rPr>
          <w:rFonts w:ascii="Arial" w:hAnsi="Arial" w:cs="Arial"/>
        </w:rPr>
      </w:pPr>
      <w:r w:rsidRPr="00F5658D">
        <w:rPr>
          <w:rFonts w:ascii="Arial" w:hAnsi="Arial" w:cs="Arial"/>
        </w:rPr>
        <w:t xml:space="preserve">In addition, the </w:t>
      </w:r>
      <w:r w:rsidR="008F4202" w:rsidRPr="00F5658D">
        <w:rPr>
          <w:rFonts w:ascii="Arial" w:hAnsi="Arial" w:cs="Arial"/>
        </w:rPr>
        <w:t>Authority</w:t>
      </w:r>
      <w:r w:rsidRPr="00F5658D">
        <w:rPr>
          <w:rFonts w:ascii="Arial" w:hAnsi="Arial" w:cs="Arial"/>
        </w:rPr>
        <w:t xml:space="preserve"> may borrow </w:t>
      </w:r>
      <w:r w:rsidR="00FD6480" w:rsidRPr="00F5658D">
        <w:rPr>
          <w:rFonts w:ascii="Arial" w:hAnsi="Arial" w:cs="Arial"/>
        </w:rPr>
        <w:t>short-term loans</w:t>
      </w:r>
      <w:r w:rsidRPr="00F5658D">
        <w:rPr>
          <w:rFonts w:ascii="Arial" w:hAnsi="Arial" w:cs="Arial"/>
        </w:rPr>
        <w:t xml:space="preserve"> (normally for up to </w:t>
      </w:r>
      <w:r w:rsidR="00FD6480" w:rsidRPr="00F5658D">
        <w:rPr>
          <w:rFonts w:ascii="Arial" w:hAnsi="Arial" w:cs="Arial"/>
        </w:rPr>
        <w:t>one month</w:t>
      </w:r>
      <w:r w:rsidRPr="00F5658D">
        <w:rPr>
          <w:rFonts w:ascii="Arial" w:hAnsi="Arial" w:cs="Arial"/>
        </w:rPr>
        <w:t>) to cover unexpected cash flow shortages.</w:t>
      </w:r>
    </w:p>
    <w:p w:rsidR="0041798A" w:rsidRPr="00F5658D" w:rsidRDefault="00D43FFA" w:rsidP="00FD6480">
      <w:pPr>
        <w:pStyle w:val="ListParagraph"/>
        <w:ind w:left="0"/>
        <w:contextualSpacing w:val="0"/>
        <w:jc w:val="both"/>
        <w:rPr>
          <w:rFonts w:ascii="Arial" w:hAnsi="Arial" w:cs="Arial"/>
        </w:rPr>
      </w:pPr>
      <w:r w:rsidRPr="00F5658D">
        <w:rPr>
          <w:rFonts w:ascii="Arial" w:hAnsi="Arial" w:cs="Arial"/>
          <w:b/>
        </w:rPr>
        <w:t>Sources:</w:t>
      </w:r>
      <w:r w:rsidRPr="00F5658D">
        <w:rPr>
          <w:rFonts w:ascii="Arial" w:hAnsi="Arial" w:cs="Arial"/>
        </w:rPr>
        <w:t xml:space="preserve"> </w:t>
      </w:r>
      <w:r w:rsidR="0041798A" w:rsidRPr="00F5658D">
        <w:rPr>
          <w:rFonts w:ascii="Arial" w:hAnsi="Arial" w:cs="Arial"/>
        </w:rPr>
        <w:t xml:space="preserve">The approved sources of long-term and short-term borrowing </w:t>
      </w:r>
      <w:r w:rsidR="00354898" w:rsidRPr="00F5658D">
        <w:rPr>
          <w:rFonts w:ascii="Arial" w:hAnsi="Arial" w:cs="Arial"/>
        </w:rPr>
        <w:t>are</w:t>
      </w:r>
      <w:r w:rsidR="0041798A" w:rsidRPr="00F5658D">
        <w:rPr>
          <w:rFonts w:ascii="Arial" w:hAnsi="Arial" w:cs="Arial"/>
        </w:rPr>
        <w:t>:</w:t>
      </w:r>
    </w:p>
    <w:p w:rsidR="00753088" w:rsidRPr="004B716C" w:rsidRDefault="00753088" w:rsidP="004B716C">
      <w:pPr>
        <w:pStyle w:val="ListParagraph"/>
        <w:numPr>
          <w:ilvl w:val="0"/>
          <w:numId w:val="22"/>
        </w:numPr>
        <w:spacing w:after="0"/>
        <w:jc w:val="both"/>
        <w:rPr>
          <w:rFonts w:ascii="Arial" w:hAnsi="Arial" w:cs="Arial"/>
        </w:rPr>
      </w:pPr>
      <w:r w:rsidRPr="004B716C">
        <w:rPr>
          <w:rFonts w:ascii="Arial" w:hAnsi="Arial" w:cs="Arial"/>
        </w:rPr>
        <w:t>Government Loans Fund (via the Department of Finance and Personnel, DFP)</w:t>
      </w:r>
    </w:p>
    <w:p w:rsidR="0041798A" w:rsidRPr="004B716C" w:rsidRDefault="0041798A" w:rsidP="004B716C">
      <w:pPr>
        <w:pStyle w:val="ListParagraph"/>
        <w:numPr>
          <w:ilvl w:val="0"/>
          <w:numId w:val="22"/>
        </w:numPr>
        <w:spacing w:after="0"/>
        <w:jc w:val="both"/>
        <w:rPr>
          <w:rFonts w:ascii="Arial" w:hAnsi="Arial" w:cs="Arial"/>
        </w:rPr>
      </w:pPr>
      <w:r w:rsidRPr="004B716C">
        <w:rPr>
          <w:rFonts w:ascii="Arial" w:hAnsi="Arial" w:cs="Arial"/>
        </w:rPr>
        <w:t xml:space="preserve">any institution approved for investments </w:t>
      </w:r>
      <w:r w:rsidR="004B716C">
        <w:rPr>
          <w:rFonts w:ascii="Arial" w:hAnsi="Arial" w:cs="Arial"/>
        </w:rPr>
        <w:t>as specified by the D.O.E. guidance.</w:t>
      </w:r>
    </w:p>
    <w:p w:rsidR="0041798A" w:rsidRPr="004B716C" w:rsidRDefault="0041798A" w:rsidP="004B716C">
      <w:pPr>
        <w:pStyle w:val="ListParagraph"/>
        <w:numPr>
          <w:ilvl w:val="0"/>
          <w:numId w:val="22"/>
        </w:numPr>
        <w:spacing w:after="0"/>
        <w:jc w:val="both"/>
        <w:rPr>
          <w:rFonts w:ascii="Arial" w:hAnsi="Arial" w:cs="Arial"/>
        </w:rPr>
      </w:pPr>
      <w:r w:rsidRPr="004B716C">
        <w:rPr>
          <w:rFonts w:ascii="Arial" w:hAnsi="Arial" w:cs="Arial"/>
        </w:rPr>
        <w:t>any other bank or building society a</w:t>
      </w:r>
      <w:r w:rsidR="00354898" w:rsidRPr="004B716C">
        <w:rPr>
          <w:rFonts w:ascii="Arial" w:hAnsi="Arial" w:cs="Arial"/>
        </w:rPr>
        <w:t>uthorised</w:t>
      </w:r>
      <w:r w:rsidRPr="004B716C">
        <w:rPr>
          <w:rFonts w:ascii="Arial" w:hAnsi="Arial" w:cs="Arial"/>
        </w:rPr>
        <w:t xml:space="preserve"> </w:t>
      </w:r>
      <w:r w:rsidR="00354898" w:rsidRPr="004B716C">
        <w:rPr>
          <w:rFonts w:ascii="Arial" w:hAnsi="Arial" w:cs="Arial"/>
        </w:rPr>
        <w:t>to operate in the UK</w:t>
      </w:r>
    </w:p>
    <w:p w:rsidR="0082298E" w:rsidRDefault="0082298E" w:rsidP="00FD6480">
      <w:pPr>
        <w:pStyle w:val="ListParagraph"/>
        <w:ind w:left="0"/>
        <w:contextualSpacing w:val="0"/>
        <w:jc w:val="both"/>
        <w:rPr>
          <w:rFonts w:ascii="Arial" w:hAnsi="Arial" w:cs="Arial"/>
        </w:rPr>
      </w:pPr>
    </w:p>
    <w:p w:rsidR="004E047F" w:rsidRPr="00F5658D" w:rsidRDefault="004E047F" w:rsidP="00FD6480">
      <w:pPr>
        <w:pStyle w:val="ListParagraph"/>
        <w:ind w:left="0"/>
        <w:contextualSpacing w:val="0"/>
        <w:jc w:val="both"/>
        <w:rPr>
          <w:rFonts w:ascii="Arial" w:hAnsi="Arial" w:cs="Arial"/>
        </w:rPr>
      </w:pPr>
      <w:r w:rsidRPr="00F5658D">
        <w:rPr>
          <w:rFonts w:ascii="Arial" w:hAnsi="Arial" w:cs="Arial"/>
        </w:rPr>
        <w:t>In addition, capital finance may be raised by the following methods that are not borrowing</w:t>
      </w:r>
      <w:r w:rsidR="0026017D" w:rsidRPr="00F5658D">
        <w:rPr>
          <w:rFonts w:ascii="Arial" w:hAnsi="Arial" w:cs="Arial"/>
        </w:rPr>
        <w:t>, but may be classed as other debt liabilities</w:t>
      </w:r>
      <w:r w:rsidRPr="00F5658D">
        <w:rPr>
          <w:rFonts w:ascii="Arial" w:hAnsi="Arial" w:cs="Arial"/>
        </w:rPr>
        <w:t>:</w:t>
      </w:r>
    </w:p>
    <w:p w:rsidR="004E047F" w:rsidRPr="00F5658D" w:rsidRDefault="004E047F" w:rsidP="004E047F">
      <w:pPr>
        <w:pStyle w:val="ListParagraph"/>
        <w:numPr>
          <w:ilvl w:val="0"/>
          <w:numId w:val="2"/>
        </w:numPr>
        <w:spacing w:after="0"/>
        <w:ind w:left="709" w:hanging="349"/>
        <w:contextualSpacing w:val="0"/>
        <w:jc w:val="both"/>
        <w:rPr>
          <w:rFonts w:ascii="Arial" w:hAnsi="Arial" w:cs="Arial"/>
        </w:rPr>
      </w:pPr>
      <w:r w:rsidRPr="00F5658D">
        <w:rPr>
          <w:rFonts w:ascii="Arial" w:hAnsi="Arial" w:cs="Arial"/>
        </w:rPr>
        <w:t>operating and finance leases</w:t>
      </w:r>
    </w:p>
    <w:p w:rsidR="0026017D" w:rsidRPr="00F5658D" w:rsidRDefault="0026017D" w:rsidP="004E047F">
      <w:pPr>
        <w:pStyle w:val="ListParagraph"/>
        <w:numPr>
          <w:ilvl w:val="0"/>
          <w:numId w:val="2"/>
        </w:numPr>
        <w:spacing w:after="0"/>
        <w:ind w:left="709" w:hanging="349"/>
        <w:contextualSpacing w:val="0"/>
        <w:jc w:val="both"/>
        <w:rPr>
          <w:rFonts w:ascii="Arial" w:hAnsi="Arial" w:cs="Arial"/>
        </w:rPr>
      </w:pPr>
      <w:r w:rsidRPr="00F5658D">
        <w:rPr>
          <w:rFonts w:ascii="Arial" w:hAnsi="Arial" w:cs="Arial"/>
        </w:rPr>
        <w:t>hire purchase</w:t>
      </w:r>
    </w:p>
    <w:p w:rsidR="004E047F" w:rsidRPr="00F5658D" w:rsidRDefault="0026017D" w:rsidP="0028735D">
      <w:pPr>
        <w:pStyle w:val="ListParagraph"/>
        <w:numPr>
          <w:ilvl w:val="0"/>
          <w:numId w:val="2"/>
        </w:numPr>
        <w:spacing w:after="0"/>
        <w:ind w:left="709" w:hanging="349"/>
        <w:contextualSpacing w:val="0"/>
        <w:jc w:val="both"/>
        <w:rPr>
          <w:rFonts w:ascii="Arial" w:hAnsi="Arial" w:cs="Arial"/>
        </w:rPr>
      </w:pPr>
      <w:r w:rsidRPr="00F5658D">
        <w:rPr>
          <w:rFonts w:ascii="Arial" w:hAnsi="Arial" w:cs="Arial"/>
        </w:rPr>
        <w:t>sale and leaseback</w:t>
      </w:r>
    </w:p>
    <w:p w:rsidR="0028735D" w:rsidRPr="00F5658D" w:rsidRDefault="0028735D" w:rsidP="0028735D">
      <w:pPr>
        <w:pStyle w:val="ListParagraph"/>
        <w:spacing w:after="0"/>
        <w:ind w:left="0"/>
        <w:contextualSpacing w:val="0"/>
        <w:jc w:val="both"/>
        <w:rPr>
          <w:rFonts w:ascii="Arial" w:hAnsi="Arial" w:cs="Arial"/>
        </w:rPr>
      </w:pPr>
    </w:p>
    <w:p w:rsidR="0041798A" w:rsidRPr="00F5658D" w:rsidRDefault="0041798A" w:rsidP="00FD6480">
      <w:pPr>
        <w:pStyle w:val="ListParagraph"/>
        <w:ind w:left="0"/>
        <w:contextualSpacing w:val="0"/>
        <w:jc w:val="both"/>
        <w:rPr>
          <w:rFonts w:ascii="Arial" w:hAnsi="Arial" w:cs="Arial"/>
        </w:rPr>
      </w:pPr>
      <w:r w:rsidRPr="00F5658D">
        <w:rPr>
          <w:rFonts w:ascii="Arial" w:hAnsi="Arial" w:cs="Arial"/>
        </w:rPr>
        <w:t xml:space="preserve">The </w:t>
      </w:r>
      <w:r w:rsidR="00354898" w:rsidRPr="00F5658D">
        <w:rPr>
          <w:rFonts w:ascii="Arial" w:hAnsi="Arial" w:cs="Arial"/>
        </w:rPr>
        <w:t>Authority</w:t>
      </w:r>
      <w:r w:rsidRPr="00F5658D">
        <w:rPr>
          <w:rFonts w:ascii="Arial" w:hAnsi="Arial" w:cs="Arial"/>
        </w:rPr>
        <w:t xml:space="preserve"> has previously </w:t>
      </w:r>
      <w:r w:rsidRPr="002C7B6D">
        <w:rPr>
          <w:rFonts w:ascii="Arial" w:hAnsi="Arial" w:cs="Arial"/>
        </w:rPr>
        <w:t>raised</w:t>
      </w:r>
      <w:r w:rsidR="002C7B6D" w:rsidRPr="002C7B6D">
        <w:rPr>
          <w:rFonts w:ascii="Arial" w:hAnsi="Arial" w:cs="Arial"/>
        </w:rPr>
        <w:t xml:space="preserve"> </w:t>
      </w:r>
      <w:r w:rsidR="004B4462" w:rsidRPr="002C7B6D">
        <w:rPr>
          <w:rFonts w:ascii="Arial" w:hAnsi="Arial" w:cs="Arial"/>
        </w:rPr>
        <w:t>all</w:t>
      </w:r>
      <w:r w:rsidRPr="002C7B6D">
        <w:rPr>
          <w:rFonts w:ascii="Arial" w:hAnsi="Arial" w:cs="Arial"/>
        </w:rPr>
        <w:t xml:space="preserve"> of</w:t>
      </w:r>
      <w:r w:rsidRPr="00F5658D">
        <w:rPr>
          <w:rFonts w:ascii="Arial" w:hAnsi="Arial" w:cs="Arial"/>
        </w:rPr>
        <w:t xml:space="preserve"> its long-term borrowing from the </w:t>
      </w:r>
      <w:r w:rsidR="00753088" w:rsidRPr="00F5658D">
        <w:rPr>
          <w:rFonts w:ascii="Arial" w:hAnsi="Arial" w:cs="Arial"/>
        </w:rPr>
        <w:t>Government Loans Fund</w:t>
      </w:r>
      <w:r w:rsidRPr="00F5658D">
        <w:rPr>
          <w:rFonts w:ascii="Arial" w:hAnsi="Arial" w:cs="Arial"/>
        </w:rPr>
        <w:t xml:space="preserve"> but it continues to investigate other sources of finance, such as </w:t>
      </w:r>
      <w:r w:rsidR="008135E6" w:rsidRPr="00F5658D">
        <w:rPr>
          <w:rFonts w:ascii="Arial" w:hAnsi="Arial" w:cs="Arial"/>
        </w:rPr>
        <w:t>local authority loans</w:t>
      </w:r>
      <w:r w:rsidRPr="00F5658D">
        <w:rPr>
          <w:rFonts w:ascii="Arial" w:hAnsi="Arial" w:cs="Arial"/>
        </w:rPr>
        <w:t xml:space="preserve"> and bank </w:t>
      </w:r>
      <w:r w:rsidR="00962A72" w:rsidRPr="00F5658D">
        <w:rPr>
          <w:rFonts w:ascii="Arial" w:hAnsi="Arial" w:cs="Arial"/>
        </w:rPr>
        <w:t>loans that</w:t>
      </w:r>
      <w:r w:rsidRPr="00F5658D">
        <w:rPr>
          <w:rFonts w:ascii="Arial" w:hAnsi="Arial" w:cs="Arial"/>
        </w:rPr>
        <w:t xml:space="preserve"> may be available at more favourable rates.</w:t>
      </w:r>
    </w:p>
    <w:p w:rsidR="0041798A" w:rsidRDefault="007D7B42" w:rsidP="00354898">
      <w:pPr>
        <w:pStyle w:val="ListParagraph"/>
        <w:ind w:left="0"/>
        <w:contextualSpacing w:val="0"/>
        <w:jc w:val="both"/>
        <w:rPr>
          <w:rFonts w:ascii="Arial" w:hAnsi="Arial" w:cs="Arial"/>
        </w:rPr>
      </w:pPr>
      <w:r w:rsidRPr="00F5658D">
        <w:rPr>
          <w:rFonts w:ascii="Arial" w:hAnsi="Arial" w:cs="Arial"/>
          <w:b/>
        </w:rPr>
        <w:t xml:space="preserve">Short-term and </w:t>
      </w:r>
      <w:r w:rsidR="003F1F75" w:rsidRPr="00F5658D">
        <w:rPr>
          <w:rFonts w:ascii="Arial" w:hAnsi="Arial" w:cs="Arial"/>
          <w:b/>
        </w:rPr>
        <w:t>V</w:t>
      </w:r>
      <w:r w:rsidR="0041798A" w:rsidRPr="00F5658D">
        <w:rPr>
          <w:rFonts w:ascii="Arial" w:hAnsi="Arial" w:cs="Arial"/>
          <w:b/>
        </w:rPr>
        <w:t xml:space="preserve">ariable </w:t>
      </w:r>
      <w:r w:rsidR="003F1F75" w:rsidRPr="00F5658D">
        <w:rPr>
          <w:rFonts w:ascii="Arial" w:hAnsi="Arial" w:cs="Arial"/>
          <w:b/>
        </w:rPr>
        <w:t>R</w:t>
      </w:r>
      <w:r w:rsidR="0041798A" w:rsidRPr="00F5658D">
        <w:rPr>
          <w:rFonts w:ascii="Arial" w:hAnsi="Arial" w:cs="Arial"/>
          <w:b/>
        </w:rPr>
        <w:t>ate loans</w:t>
      </w:r>
      <w:r w:rsidR="00D43FFA" w:rsidRPr="00F5658D">
        <w:rPr>
          <w:rFonts w:ascii="Arial" w:hAnsi="Arial" w:cs="Arial"/>
        </w:rPr>
        <w:t>:</w:t>
      </w:r>
      <w:r w:rsidR="0041798A" w:rsidRPr="00F5658D">
        <w:rPr>
          <w:rFonts w:ascii="Arial" w:hAnsi="Arial" w:cs="Arial"/>
        </w:rPr>
        <w:t xml:space="preserve"> </w:t>
      </w:r>
      <w:r w:rsidR="00D43FFA" w:rsidRPr="00F5658D">
        <w:rPr>
          <w:rFonts w:ascii="Arial" w:hAnsi="Arial" w:cs="Arial"/>
        </w:rPr>
        <w:t xml:space="preserve">These loans </w:t>
      </w:r>
      <w:r w:rsidRPr="00F5658D">
        <w:rPr>
          <w:rFonts w:ascii="Arial" w:hAnsi="Arial" w:cs="Arial"/>
        </w:rPr>
        <w:t>leave the Authority exposed to the risk of short-term interest rate rises and are therefore</w:t>
      </w:r>
      <w:r w:rsidR="0041798A" w:rsidRPr="00F5658D">
        <w:rPr>
          <w:rFonts w:ascii="Arial" w:hAnsi="Arial" w:cs="Arial"/>
        </w:rPr>
        <w:t xml:space="preserve"> subject to the limit on the net exposure to variable interest rates in the treasu</w:t>
      </w:r>
      <w:r w:rsidR="00354898" w:rsidRPr="00F5658D">
        <w:rPr>
          <w:rFonts w:ascii="Arial" w:hAnsi="Arial" w:cs="Arial"/>
        </w:rPr>
        <w:t>ry management indicators below.</w:t>
      </w:r>
    </w:p>
    <w:p w:rsidR="002C7B6D" w:rsidRPr="00F5658D" w:rsidRDefault="002C7B6D" w:rsidP="00354898">
      <w:pPr>
        <w:pStyle w:val="ListParagraph"/>
        <w:ind w:left="0"/>
        <w:contextualSpacing w:val="0"/>
        <w:jc w:val="both"/>
        <w:rPr>
          <w:rFonts w:ascii="Arial" w:hAnsi="Arial" w:cs="Arial"/>
        </w:rPr>
      </w:pPr>
    </w:p>
    <w:p w:rsidR="00C856EE" w:rsidRPr="00F5658D" w:rsidRDefault="00132091" w:rsidP="00FD6480">
      <w:pPr>
        <w:pStyle w:val="ListParagraph"/>
        <w:ind w:left="0"/>
        <w:contextualSpacing w:val="0"/>
        <w:jc w:val="both"/>
        <w:rPr>
          <w:rFonts w:ascii="Arial" w:hAnsi="Arial" w:cs="Arial"/>
        </w:rPr>
      </w:pPr>
      <w:r w:rsidRPr="00F5658D">
        <w:rPr>
          <w:rFonts w:ascii="Arial" w:hAnsi="Arial" w:cs="Arial"/>
          <w:b/>
        </w:rPr>
        <w:lastRenderedPageBreak/>
        <w:t>Debt Rescheduling:</w:t>
      </w:r>
      <w:r w:rsidRPr="00F5658D">
        <w:rPr>
          <w:rFonts w:ascii="Arial" w:hAnsi="Arial" w:cs="Arial"/>
        </w:rPr>
        <w:t xml:space="preserve"> </w:t>
      </w:r>
      <w:r w:rsidR="0041798A" w:rsidRPr="00F5658D">
        <w:rPr>
          <w:rFonts w:ascii="Arial" w:hAnsi="Arial" w:cs="Arial"/>
        </w:rPr>
        <w:t xml:space="preserve">The </w:t>
      </w:r>
      <w:r w:rsidR="00753088" w:rsidRPr="00F5658D">
        <w:rPr>
          <w:rFonts w:ascii="Arial" w:hAnsi="Arial" w:cs="Arial"/>
        </w:rPr>
        <w:t>DFP</w:t>
      </w:r>
      <w:r w:rsidR="0041798A" w:rsidRPr="00F5658D">
        <w:rPr>
          <w:rFonts w:ascii="Arial" w:hAnsi="Arial" w:cs="Arial"/>
        </w:rPr>
        <w:t xml:space="preserve"> allows authorities to repay loans before maturity and either pay a premium or receive a discount according to a set formula based on current interest rates. The </w:t>
      </w:r>
      <w:r w:rsidR="00354898" w:rsidRPr="00F5658D">
        <w:rPr>
          <w:rFonts w:ascii="Arial" w:hAnsi="Arial" w:cs="Arial"/>
        </w:rPr>
        <w:t>Authority</w:t>
      </w:r>
      <w:r w:rsidR="0041798A" w:rsidRPr="00F5658D">
        <w:rPr>
          <w:rFonts w:ascii="Arial" w:hAnsi="Arial" w:cs="Arial"/>
        </w:rPr>
        <w:t xml:space="preserve"> may take advantage of this and replace some loans with new loans, or repay loans without replacement, where this is expected to lead to an overall </w:t>
      </w:r>
      <w:r w:rsidR="007F12B1" w:rsidRPr="00F5658D">
        <w:rPr>
          <w:rFonts w:ascii="Arial" w:hAnsi="Arial" w:cs="Arial"/>
        </w:rPr>
        <w:t xml:space="preserve">cost </w:t>
      </w:r>
      <w:r w:rsidR="0041798A" w:rsidRPr="00F5658D">
        <w:rPr>
          <w:rFonts w:ascii="Arial" w:hAnsi="Arial" w:cs="Arial"/>
        </w:rPr>
        <w:t xml:space="preserve">saving or </w:t>
      </w:r>
      <w:r w:rsidR="007F12B1" w:rsidRPr="00F5658D">
        <w:rPr>
          <w:rFonts w:ascii="Arial" w:hAnsi="Arial" w:cs="Arial"/>
        </w:rPr>
        <w:t xml:space="preserve">a </w:t>
      </w:r>
      <w:r w:rsidR="0041798A" w:rsidRPr="00F5658D">
        <w:rPr>
          <w:rFonts w:ascii="Arial" w:hAnsi="Arial" w:cs="Arial"/>
        </w:rPr>
        <w:t>reduction in risk.</w:t>
      </w:r>
    </w:p>
    <w:p w:rsidR="00ED62B3" w:rsidRPr="00F5658D" w:rsidRDefault="00ED62B3" w:rsidP="009F23E2">
      <w:pPr>
        <w:pStyle w:val="ListParagraph"/>
        <w:ind w:left="0"/>
        <w:contextualSpacing w:val="0"/>
        <w:jc w:val="both"/>
        <w:rPr>
          <w:rFonts w:ascii="Arial" w:hAnsi="Arial" w:cs="Arial"/>
        </w:rPr>
      </w:pPr>
    </w:p>
    <w:p w:rsidR="00ED62B3" w:rsidRPr="00F5658D" w:rsidRDefault="00ED62B3" w:rsidP="009F23E2">
      <w:pPr>
        <w:pStyle w:val="ListParagraph"/>
        <w:ind w:left="0"/>
        <w:contextualSpacing w:val="0"/>
        <w:jc w:val="both"/>
        <w:rPr>
          <w:rFonts w:ascii="Arial" w:hAnsi="Arial" w:cs="Arial"/>
          <w:b/>
          <w:u w:val="single"/>
        </w:rPr>
      </w:pPr>
      <w:r w:rsidRPr="00F5658D">
        <w:rPr>
          <w:rFonts w:ascii="Arial" w:hAnsi="Arial" w:cs="Arial"/>
          <w:b/>
          <w:u w:val="single"/>
        </w:rPr>
        <w:t>Investment Strategy</w:t>
      </w:r>
    </w:p>
    <w:p w:rsidR="00820497" w:rsidRPr="00F5658D" w:rsidRDefault="005015C4" w:rsidP="009F23E2">
      <w:pPr>
        <w:pStyle w:val="ListParagraph"/>
        <w:ind w:left="0"/>
        <w:contextualSpacing w:val="0"/>
        <w:jc w:val="both"/>
        <w:rPr>
          <w:rFonts w:ascii="Arial" w:hAnsi="Arial" w:cs="Arial"/>
        </w:rPr>
      </w:pPr>
      <w:r w:rsidRPr="00F5658D">
        <w:rPr>
          <w:rFonts w:ascii="Arial" w:hAnsi="Arial" w:cs="Arial"/>
        </w:rPr>
        <w:t xml:space="preserve">The </w:t>
      </w:r>
      <w:r w:rsidR="008F4202" w:rsidRPr="00F5658D">
        <w:rPr>
          <w:rFonts w:ascii="Arial" w:hAnsi="Arial" w:cs="Arial"/>
        </w:rPr>
        <w:t>Authority</w:t>
      </w:r>
      <w:r w:rsidRPr="00F5658D">
        <w:rPr>
          <w:rFonts w:ascii="Arial" w:hAnsi="Arial" w:cs="Arial"/>
        </w:rPr>
        <w:t xml:space="preserve"> holds </w:t>
      </w:r>
      <w:r w:rsidR="00AA5358" w:rsidRPr="00F5658D">
        <w:rPr>
          <w:rFonts w:ascii="Arial" w:hAnsi="Arial" w:cs="Arial"/>
        </w:rPr>
        <w:t>invested</w:t>
      </w:r>
      <w:r w:rsidRPr="00F5658D">
        <w:rPr>
          <w:rFonts w:ascii="Arial" w:hAnsi="Arial" w:cs="Arial"/>
        </w:rPr>
        <w:t xml:space="preserve"> funds, representing income received in advance of expenditure plus balances and reserves held.  In the past 12 months, the </w:t>
      </w:r>
      <w:r w:rsidR="008F4202" w:rsidRPr="00F5658D">
        <w:rPr>
          <w:rFonts w:ascii="Arial" w:hAnsi="Arial" w:cs="Arial"/>
        </w:rPr>
        <w:t>Authority</w:t>
      </w:r>
      <w:r w:rsidRPr="00F5658D">
        <w:rPr>
          <w:rFonts w:ascii="Arial" w:hAnsi="Arial" w:cs="Arial"/>
        </w:rPr>
        <w:t xml:space="preserve">’s investment balance has ranged between </w:t>
      </w:r>
      <w:r w:rsidR="00243E06" w:rsidRPr="0068690A">
        <w:rPr>
          <w:rFonts w:ascii="Arial" w:hAnsi="Arial" w:cs="Arial"/>
        </w:rPr>
        <w:t>£</w:t>
      </w:r>
      <w:r w:rsidR="0068690A" w:rsidRPr="0068690A">
        <w:rPr>
          <w:rFonts w:ascii="Arial" w:hAnsi="Arial" w:cs="Arial"/>
        </w:rPr>
        <w:t xml:space="preserve">2.0 </w:t>
      </w:r>
      <w:r w:rsidRPr="0068690A">
        <w:rPr>
          <w:rFonts w:ascii="Arial" w:hAnsi="Arial" w:cs="Arial"/>
        </w:rPr>
        <w:t xml:space="preserve">and </w:t>
      </w:r>
      <w:r w:rsidR="00243E06" w:rsidRPr="0068690A">
        <w:rPr>
          <w:rFonts w:ascii="Arial" w:hAnsi="Arial" w:cs="Arial"/>
        </w:rPr>
        <w:t>£</w:t>
      </w:r>
      <w:r w:rsidR="0068690A" w:rsidRPr="0068690A">
        <w:rPr>
          <w:rFonts w:ascii="Arial" w:hAnsi="Arial" w:cs="Arial"/>
        </w:rPr>
        <w:t>4.5</w:t>
      </w:r>
      <w:r w:rsidR="00243E06" w:rsidRPr="0068690A">
        <w:rPr>
          <w:rFonts w:ascii="Arial" w:hAnsi="Arial" w:cs="Arial"/>
        </w:rPr>
        <w:t xml:space="preserve"> </w:t>
      </w:r>
      <w:r w:rsidRPr="00F5658D">
        <w:rPr>
          <w:rFonts w:ascii="Arial" w:hAnsi="Arial" w:cs="Arial"/>
        </w:rPr>
        <w:t>million, and similar levels are expected to be maintained in the forthcoming year</w:t>
      </w:r>
      <w:r w:rsidR="002C7B6D">
        <w:rPr>
          <w:rFonts w:ascii="Arial" w:hAnsi="Arial" w:cs="Arial"/>
        </w:rPr>
        <w:t>.</w:t>
      </w:r>
    </w:p>
    <w:p w:rsidR="00213B39" w:rsidRPr="00F5658D" w:rsidRDefault="00D43FFA" w:rsidP="009F23E2">
      <w:pPr>
        <w:pStyle w:val="ListParagraph"/>
        <w:ind w:left="0"/>
        <w:contextualSpacing w:val="0"/>
        <w:jc w:val="both"/>
        <w:rPr>
          <w:rFonts w:ascii="Arial" w:hAnsi="Arial" w:cs="Arial"/>
        </w:rPr>
      </w:pPr>
      <w:r w:rsidRPr="00F5658D">
        <w:rPr>
          <w:rFonts w:ascii="Arial" w:hAnsi="Arial" w:cs="Arial"/>
          <w:b/>
        </w:rPr>
        <w:t>Objectives:</w:t>
      </w:r>
      <w:r w:rsidRPr="00F5658D">
        <w:rPr>
          <w:rFonts w:ascii="Arial" w:hAnsi="Arial" w:cs="Arial"/>
        </w:rPr>
        <w:t xml:space="preserve"> </w:t>
      </w:r>
      <w:r w:rsidR="005015C4" w:rsidRPr="00F5658D">
        <w:rPr>
          <w:rFonts w:ascii="Arial" w:hAnsi="Arial" w:cs="Arial"/>
        </w:rPr>
        <w:t xml:space="preserve">Both the CIPFA Code and the </w:t>
      </w:r>
      <w:r w:rsidR="00753088" w:rsidRPr="00F5658D">
        <w:rPr>
          <w:rFonts w:ascii="Arial" w:hAnsi="Arial" w:cs="Arial"/>
        </w:rPr>
        <w:t>DOE</w:t>
      </w:r>
      <w:r w:rsidR="005015C4" w:rsidRPr="00F5658D">
        <w:rPr>
          <w:rFonts w:ascii="Arial" w:hAnsi="Arial" w:cs="Arial"/>
        </w:rPr>
        <w:t xml:space="preserve"> Guidance require the </w:t>
      </w:r>
      <w:r w:rsidR="008F4202" w:rsidRPr="00F5658D">
        <w:rPr>
          <w:rFonts w:ascii="Arial" w:hAnsi="Arial" w:cs="Arial"/>
        </w:rPr>
        <w:t>Authority</w:t>
      </w:r>
      <w:r w:rsidR="005015C4" w:rsidRPr="00F5658D">
        <w:rPr>
          <w:rFonts w:ascii="Arial" w:hAnsi="Arial" w:cs="Arial"/>
        </w:rPr>
        <w:t xml:space="preserve"> to invest its funds prudently, and to have regard to the security and liquidity of its investments before seeking the highest rate of return, or yield.</w:t>
      </w:r>
      <w:r w:rsidR="00820497" w:rsidRPr="00F5658D">
        <w:rPr>
          <w:rFonts w:ascii="Arial" w:hAnsi="Arial" w:cs="Arial"/>
        </w:rPr>
        <w:t xml:space="preserve">  </w:t>
      </w:r>
      <w:r w:rsidR="00945662" w:rsidRPr="00F5658D">
        <w:rPr>
          <w:rFonts w:ascii="Arial" w:hAnsi="Arial" w:cs="Arial"/>
        </w:rPr>
        <w:t xml:space="preserve">The Authority’s objective when investing money is to strike an appropriate balance between risk and return, minimising the risk of incurring losses </w:t>
      </w:r>
      <w:r w:rsidR="00A425C6" w:rsidRPr="00F5658D">
        <w:rPr>
          <w:rFonts w:ascii="Arial" w:hAnsi="Arial" w:cs="Arial"/>
        </w:rPr>
        <w:t>from defaults and the risk receiving unsuitably low investment income.</w:t>
      </w:r>
    </w:p>
    <w:p w:rsidR="006B2197" w:rsidRDefault="00A61872" w:rsidP="009F23E2">
      <w:pPr>
        <w:pStyle w:val="ListParagraph"/>
        <w:ind w:left="0"/>
        <w:contextualSpacing w:val="0"/>
        <w:jc w:val="both"/>
        <w:rPr>
          <w:rFonts w:ascii="Arial" w:hAnsi="Arial" w:cs="Arial"/>
        </w:rPr>
      </w:pPr>
      <w:r w:rsidRPr="00F5658D">
        <w:rPr>
          <w:rFonts w:ascii="Arial" w:hAnsi="Arial" w:cs="Arial"/>
          <w:b/>
        </w:rPr>
        <w:t xml:space="preserve">Strategy: </w:t>
      </w:r>
      <w:r w:rsidR="0026017D" w:rsidRPr="0064640B">
        <w:rPr>
          <w:rFonts w:ascii="Arial" w:hAnsi="Arial" w:cs="Arial"/>
        </w:rPr>
        <w:t>G</w:t>
      </w:r>
      <w:r w:rsidR="00666C22" w:rsidRPr="00F5658D">
        <w:rPr>
          <w:rFonts w:ascii="Arial" w:hAnsi="Arial" w:cs="Arial"/>
        </w:rPr>
        <w:t xml:space="preserve">iven the increasing risk and continued low returns </w:t>
      </w:r>
      <w:r w:rsidR="0026017D" w:rsidRPr="00F5658D">
        <w:rPr>
          <w:rFonts w:ascii="Arial" w:hAnsi="Arial" w:cs="Arial"/>
        </w:rPr>
        <w:t>from</w:t>
      </w:r>
      <w:r w:rsidR="00666C22" w:rsidRPr="00F5658D">
        <w:rPr>
          <w:rFonts w:ascii="Arial" w:hAnsi="Arial" w:cs="Arial"/>
        </w:rPr>
        <w:t xml:space="preserve"> </w:t>
      </w:r>
      <w:r w:rsidR="0026017D" w:rsidRPr="00F5658D">
        <w:rPr>
          <w:rFonts w:ascii="Arial" w:hAnsi="Arial" w:cs="Arial"/>
        </w:rPr>
        <w:t>short-term unsecured bank investments</w:t>
      </w:r>
      <w:r w:rsidR="00666C22" w:rsidRPr="00F5658D">
        <w:rPr>
          <w:rFonts w:ascii="Arial" w:hAnsi="Arial" w:cs="Arial"/>
        </w:rPr>
        <w:t>,</w:t>
      </w:r>
      <w:r w:rsidR="00431BA5" w:rsidRPr="00F5658D">
        <w:rPr>
          <w:rFonts w:ascii="Arial" w:hAnsi="Arial" w:cs="Arial"/>
        </w:rPr>
        <w:t xml:space="preserve"> the Authority </w:t>
      </w:r>
      <w:r w:rsidR="006B2197">
        <w:rPr>
          <w:rFonts w:ascii="Arial" w:hAnsi="Arial" w:cs="Arial"/>
        </w:rPr>
        <w:t>will continue to hold surplus funds in Bank Deposits during 2016/2017. The majority</w:t>
      </w:r>
      <w:r w:rsidR="0026017D" w:rsidRPr="006B2197">
        <w:rPr>
          <w:rFonts w:ascii="Arial" w:hAnsi="Arial" w:cs="Arial"/>
        </w:rPr>
        <w:t xml:space="preserve"> </w:t>
      </w:r>
      <w:r w:rsidR="0026017D" w:rsidRPr="00F5658D">
        <w:rPr>
          <w:rFonts w:ascii="Arial" w:hAnsi="Arial" w:cs="Arial"/>
        </w:rPr>
        <w:t xml:space="preserve">of the Authorities surplus cash </w:t>
      </w:r>
      <w:r w:rsidR="0026017D" w:rsidRPr="006B2197">
        <w:rPr>
          <w:rFonts w:ascii="Arial" w:hAnsi="Arial" w:cs="Arial"/>
        </w:rPr>
        <w:t>is currently</w:t>
      </w:r>
      <w:r w:rsidR="006B2197">
        <w:rPr>
          <w:rFonts w:ascii="Arial" w:hAnsi="Arial" w:cs="Arial"/>
        </w:rPr>
        <w:t xml:space="preserve"> </w:t>
      </w:r>
      <w:r w:rsidR="0026017D" w:rsidRPr="00F5658D">
        <w:rPr>
          <w:rFonts w:ascii="Arial" w:hAnsi="Arial" w:cs="Arial"/>
        </w:rPr>
        <w:t>invested in short-term unsecured bank deposits,</w:t>
      </w:r>
      <w:r w:rsidR="006B2197">
        <w:rPr>
          <w:rFonts w:ascii="Arial" w:hAnsi="Arial" w:cs="Arial"/>
        </w:rPr>
        <w:t xml:space="preserve"> </w:t>
      </w:r>
      <w:r w:rsidR="0026017D" w:rsidRPr="00F5658D">
        <w:rPr>
          <w:rFonts w:ascii="Arial" w:hAnsi="Arial" w:cs="Arial"/>
        </w:rPr>
        <w:t xml:space="preserve">and money market funds.  </w:t>
      </w:r>
    </w:p>
    <w:p w:rsidR="0026017D" w:rsidRPr="00F5658D" w:rsidRDefault="00D43FFA" w:rsidP="009F23E2">
      <w:pPr>
        <w:pStyle w:val="ListParagraph"/>
        <w:ind w:left="0"/>
        <w:contextualSpacing w:val="0"/>
        <w:jc w:val="both"/>
        <w:rPr>
          <w:rFonts w:ascii="Arial" w:hAnsi="Arial" w:cs="Arial"/>
        </w:rPr>
      </w:pPr>
      <w:r w:rsidRPr="00F5658D">
        <w:rPr>
          <w:rFonts w:ascii="Arial" w:hAnsi="Arial" w:cs="Arial"/>
          <w:b/>
        </w:rPr>
        <w:t>Approved Counterparties:</w:t>
      </w:r>
      <w:r w:rsidRPr="00F5658D">
        <w:rPr>
          <w:rFonts w:ascii="Arial" w:hAnsi="Arial" w:cs="Arial"/>
        </w:rPr>
        <w:t xml:space="preserve"> </w:t>
      </w:r>
      <w:r w:rsidR="005015C4" w:rsidRPr="00F5658D">
        <w:rPr>
          <w:rFonts w:ascii="Arial" w:hAnsi="Arial" w:cs="Arial"/>
        </w:rPr>
        <w:t>T</w:t>
      </w:r>
      <w:r w:rsidR="00213B39" w:rsidRPr="00F5658D">
        <w:rPr>
          <w:rFonts w:ascii="Arial" w:hAnsi="Arial" w:cs="Arial"/>
        </w:rPr>
        <w:t xml:space="preserve">he Authority </w:t>
      </w:r>
      <w:r w:rsidR="005015C4" w:rsidRPr="00F5658D">
        <w:rPr>
          <w:rFonts w:ascii="Arial" w:hAnsi="Arial" w:cs="Arial"/>
        </w:rPr>
        <w:t xml:space="preserve">may invest its surplus funds with </w:t>
      </w:r>
      <w:r w:rsidR="006B2197">
        <w:rPr>
          <w:rFonts w:ascii="Arial" w:hAnsi="Arial" w:cs="Arial"/>
        </w:rPr>
        <w:t>Banks only.</w:t>
      </w:r>
    </w:p>
    <w:p w:rsidR="005A55B6" w:rsidRPr="00F5658D" w:rsidRDefault="005A55B6" w:rsidP="00AD3FC8">
      <w:pPr>
        <w:pStyle w:val="ListParagraph"/>
        <w:ind w:left="0"/>
        <w:contextualSpacing w:val="0"/>
        <w:jc w:val="both"/>
        <w:rPr>
          <w:rFonts w:ascii="Arial" w:hAnsi="Arial" w:cs="Arial"/>
        </w:rPr>
      </w:pPr>
      <w:r w:rsidRPr="00F5658D">
        <w:rPr>
          <w:rFonts w:ascii="Arial" w:hAnsi="Arial" w:cs="Arial"/>
          <w:b/>
        </w:rPr>
        <w:t xml:space="preserve">Credit </w:t>
      </w:r>
      <w:r w:rsidR="00174A71" w:rsidRPr="00F5658D">
        <w:rPr>
          <w:rFonts w:ascii="Arial" w:hAnsi="Arial" w:cs="Arial"/>
          <w:b/>
        </w:rPr>
        <w:t>R</w:t>
      </w:r>
      <w:r w:rsidRPr="00F5658D">
        <w:rPr>
          <w:rFonts w:ascii="Arial" w:hAnsi="Arial" w:cs="Arial"/>
          <w:b/>
        </w:rPr>
        <w:t>ating</w:t>
      </w:r>
      <w:r w:rsidR="00174A71" w:rsidRPr="00F5658D">
        <w:rPr>
          <w:rFonts w:ascii="Arial" w:hAnsi="Arial" w:cs="Arial"/>
          <w:b/>
        </w:rPr>
        <w:t>:</w:t>
      </w:r>
      <w:r w:rsidR="00174A71" w:rsidRPr="00F5658D">
        <w:rPr>
          <w:rFonts w:ascii="Arial" w:hAnsi="Arial" w:cs="Arial"/>
        </w:rPr>
        <w:t xml:space="preserve"> Investment decisions are made by reference to </w:t>
      </w:r>
      <w:r w:rsidRPr="00F5658D">
        <w:rPr>
          <w:rFonts w:ascii="Arial" w:hAnsi="Arial" w:cs="Arial"/>
        </w:rPr>
        <w:t xml:space="preserve">the lowest published </w:t>
      </w:r>
      <w:r w:rsidR="00174A71" w:rsidRPr="00F5658D">
        <w:rPr>
          <w:rFonts w:ascii="Arial" w:hAnsi="Arial" w:cs="Arial"/>
        </w:rPr>
        <w:t xml:space="preserve">long-term </w:t>
      </w:r>
      <w:r w:rsidRPr="00F5658D">
        <w:rPr>
          <w:rFonts w:ascii="Arial" w:hAnsi="Arial" w:cs="Arial"/>
        </w:rPr>
        <w:t>credit rating from Fitch, Moody’s or Standard &amp; Poor’</w:t>
      </w:r>
      <w:r w:rsidR="00693CA7" w:rsidRPr="00F5658D">
        <w:rPr>
          <w:rFonts w:ascii="Arial" w:hAnsi="Arial" w:cs="Arial"/>
        </w:rPr>
        <w:t xml:space="preserve">s. </w:t>
      </w:r>
      <w:r w:rsidR="00174A71" w:rsidRPr="00F5658D">
        <w:rPr>
          <w:rFonts w:ascii="Arial" w:hAnsi="Arial" w:cs="Arial"/>
        </w:rPr>
        <w:t xml:space="preserve"> Where available, the credit rating relevant to the specific investment or class of investment is used, otherwise the counterparty credit rating is used.</w:t>
      </w:r>
    </w:p>
    <w:p w:rsidR="006B2197" w:rsidRDefault="00174A71" w:rsidP="00AD3FC8">
      <w:pPr>
        <w:pStyle w:val="ListParagraph"/>
        <w:ind w:left="0"/>
        <w:contextualSpacing w:val="0"/>
        <w:jc w:val="both"/>
        <w:rPr>
          <w:rFonts w:ascii="Arial" w:hAnsi="Arial" w:cs="Arial"/>
        </w:rPr>
      </w:pPr>
      <w:r w:rsidRPr="00F5658D">
        <w:rPr>
          <w:rFonts w:ascii="Arial" w:hAnsi="Arial" w:cs="Arial"/>
          <w:b/>
        </w:rPr>
        <w:t>Banks Unsecured:</w:t>
      </w:r>
      <w:r w:rsidRPr="00F5658D">
        <w:rPr>
          <w:rFonts w:ascii="Arial" w:hAnsi="Arial" w:cs="Arial"/>
        </w:rPr>
        <w:t xml:space="preserve"> </w:t>
      </w:r>
      <w:r w:rsidR="004B4BFE" w:rsidRPr="00F5658D">
        <w:rPr>
          <w:rFonts w:ascii="Arial" w:hAnsi="Arial" w:cs="Arial"/>
        </w:rPr>
        <w:t>A</w:t>
      </w:r>
      <w:r w:rsidRPr="00F5658D">
        <w:rPr>
          <w:rFonts w:ascii="Arial" w:hAnsi="Arial" w:cs="Arial"/>
        </w:rPr>
        <w:t>ccounts, deposi</w:t>
      </w:r>
      <w:r w:rsidR="006B2197">
        <w:rPr>
          <w:rFonts w:ascii="Arial" w:hAnsi="Arial" w:cs="Arial"/>
        </w:rPr>
        <w:t>ts.</w:t>
      </w:r>
    </w:p>
    <w:p w:rsidR="004059BC" w:rsidRPr="00F5658D" w:rsidRDefault="00D53F15" w:rsidP="006B2197">
      <w:pPr>
        <w:pStyle w:val="ListParagraph"/>
        <w:ind w:left="0"/>
        <w:contextualSpacing w:val="0"/>
        <w:jc w:val="both"/>
        <w:rPr>
          <w:rFonts w:ascii="Arial" w:hAnsi="Arial" w:cs="Arial"/>
        </w:rPr>
      </w:pPr>
      <w:r w:rsidRPr="00F5658D">
        <w:rPr>
          <w:rFonts w:ascii="Arial" w:hAnsi="Arial" w:cs="Arial"/>
        </w:rPr>
        <w:t>These investments are subject to the risk of credit loss via a bail-in should the regulator determine that the bank is failing or likely to fail.</w:t>
      </w:r>
      <w:r w:rsidR="00637907" w:rsidRPr="00F5658D">
        <w:rPr>
          <w:rFonts w:ascii="Arial" w:hAnsi="Arial" w:cs="Arial"/>
        </w:rPr>
        <w:t xml:space="preserve">  Unsecured investment</w:t>
      </w:r>
      <w:r w:rsidR="004B716C">
        <w:rPr>
          <w:rFonts w:ascii="Arial" w:hAnsi="Arial" w:cs="Arial"/>
        </w:rPr>
        <w:t xml:space="preserve"> will not be </w:t>
      </w:r>
      <w:r w:rsidR="00962A72">
        <w:rPr>
          <w:rFonts w:ascii="Arial" w:hAnsi="Arial" w:cs="Arial"/>
        </w:rPr>
        <w:t xml:space="preserve">made </w:t>
      </w:r>
      <w:r w:rsidR="00962A72" w:rsidRPr="00F5658D">
        <w:rPr>
          <w:rFonts w:ascii="Arial" w:hAnsi="Arial" w:cs="Arial"/>
        </w:rPr>
        <w:t>with</w:t>
      </w:r>
      <w:r w:rsidR="00637907" w:rsidRPr="00F5658D">
        <w:rPr>
          <w:rFonts w:ascii="Arial" w:hAnsi="Arial" w:cs="Arial"/>
        </w:rPr>
        <w:t xml:space="preserve"> banks </w:t>
      </w:r>
      <w:r w:rsidR="00637907" w:rsidRPr="006B2197">
        <w:rPr>
          <w:rFonts w:ascii="Arial" w:hAnsi="Arial" w:cs="Arial"/>
        </w:rPr>
        <w:t>rated</w:t>
      </w:r>
      <w:r w:rsidR="004B716C">
        <w:rPr>
          <w:rFonts w:ascii="Arial" w:hAnsi="Arial" w:cs="Arial"/>
        </w:rPr>
        <w:t xml:space="preserve"> below</w:t>
      </w:r>
      <w:r w:rsidR="00637907" w:rsidRPr="006B2197">
        <w:rPr>
          <w:rFonts w:ascii="Arial" w:hAnsi="Arial" w:cs="Arial"/>
        </w:rPr>
        <w:t xml:space="preserve"> BBB</w:t>
      </w:r>
      <w:r w:rsidR="004B716C">
        <w:rPr>
          <w:rFonts w:ascii="Arial" w:hAnsi="Arial" w:cs="Arial"/>
        </w:rPr>
        <w:t>.</w:t>
      </w:r>
      <w:r w:rsidR="00637907" w:rsidRPr="00F5658D">
        <w:rPr>
          <w:rFonts w:ascii="Arial" w:hAnsi="Arial" w:cs="Arial"/>
        </w:rPr>
        <w:t xml:space="preserve"> </w:t>
      </w:r>
    </w:p>
    <w:p w:rsidR="00FE46B2" w:rsidRPr="00F5658D" w:rsidRDefault="00FE46B2" w:rsidP="00FE46B2">
      <w:pPr>
        <w:pStyle w:val="ListParagraph"/>
        <w:ind w:left="0"/>
        <w:contextualSpacing w:val="0"/>
        <w:jc w:val="both"/>
        <w:rPr>
          <w:rFonts w:ascii="Arial" w:hAnsi="Arial" w:cs="Arial"/>
        </w:rPr>
      </w:pPr>
      <w:r w:rsidRPr="00F5658D">
        <w:rPr>
          <w:rFonts w:ascii="Arial" w:hAnsi="Arial" w:cs="Arial"/>
          <w:b/>
        </w:rPr>
        <w:t>Risk Assessment and Credit Ratings</w:t>
      </w:r>
      <w:r w:rsidRPr="00F5658D">
        <w:rPr>
          <w:rFonts w:ascii="Arial" w:hAnsi="Arial" w:cs="Arial"/>
        </w:rPr>
        <w:t xml:space="preserve">: Credit ratings are obtained and monitored by the </w:t>
      </w:r>
      <w:r w:rsidR="008F4202" w:rsidRPr="00F5658D">
        <w:rPr>
          <w:rFonts w:ascii="Arial" w:hAnsi="Arial" w:cs="Arial"/>
        </w:rPr>
        <w:t>Authority</w:t>
      </w:r>
      <w:r w:rsidRPr="00F5658D">
        <w:rPr>
          <w:rFonts w:ascii="Arial" w:hAnsi="Arial" w:cs="Arial"/>
        </w:rPr>
        <w:t>’s treasury advisers, who will notify changes in ratings as they occur.  Where an entity has its credit rating downgraded so that it fails to meet the approved investment criteria then:</w:t>
      </w:r>
    </w:p>
    <w:p w:rsidR="00FE46B2" w:rsidRPr="00F5658D" w:rsidRDefault="00FE46B2" w:rsidP="004751E9">
      <w:pPr>
        <w:pStyle w:val="ListParagraph"/>
        <w:numPr>
          <w:ilvl w:val="0"/>
          <w:numId w:val="3"/>
        </w:numPr>
        <w:spacing w:after="0"/>
        <w:ind w:left="1077"/>
        <w:contextualSpacing w:val="0"/>
        <w:jc w:val="both"/>
        <w:rPr>
          <w:rFonts w:ascii="Arial" w:hAnsi="Arial" w:cs="Arial"/>
        </w:rPr>
      </w:pPr>
      <w:r w:rsidRPr="00F5658D">
        <w:rPr>
          <w:rFonts w:ascii="Arial" w:hAnsi="Arial" w:cs="Arial"/>
        </w:rPr>
        <w:t>no new investments will be made,</w:t>
      </w:r>
    </w:p>
    <w:p w:rsidR="00FE46B2" w:rsidRPr="00F5658D" w:rsidRDefault="00FE46B2" w:rsidP="004751E9">
      <w:pPr>
        <w:pStyle w:val="ListParagraph"/>
        <w:numPr>
          <w:ilvl w:val="0"/>
          <w:numId w:val="3"/>
        </w:numPr>
        <w:spacing w:after="0"/>
        <w:ind w:left="1077"/>
        <w:contextualSpacing w:val="0"/>
        <w:jc w:val="both"/>
        <w:rPr>
          <w:rFonts w:ascii="Arial" w:hAnsi="Arial" w:cs="Arial"/>
        </w:rPr>
      </w:pPr>
      <w:r w:rsidRPr="00F5658D">
        <w:rPr>
          <w:rFonts w:ascii="Arial" w:hAnsi="Arial" w:cs="Arial"/>
        </w:rPr>
        <w:t>any existing investments that can be recalled or sold at no cost will be, and</w:t>
      </w:r>
    </w:p>
    <w:p w:rsidR="00FE46B2" w:rsidRPr="00F5658D" w:rsidRDefault="00FE46B2" w:rsidP="00A955A8">
      <w:pPr>
        <w:pStyle w:val="ListParagraph"/>
        <w:numPr>
          <w:ilvl w:val="0"/>
          <w:numId w:val="3"/>
        </w:numPr>
        <w:ind w:left="709" w:hanging="349"/>
        <w:contextualSpacing w:val="0"/>
        <w:jc w:val="both"/>
        <w:rPr>
          <w:rFonts w:ascii="Arial" w:hAnsi="Arial" w:cs="Arial"/>
        </w:rPr>
      </w:pPr>
      <w:r w:rsidRPr="00F5658D">
        <w:rPr>
          <w:rFonts w:ascii="Arial" w:hAnsi="Arial" w:cs="Arial"/>
        </w:rPr>
        <w:t>full consideration will be given to the recall or sale of all other existing investments with the affected counterparty.</w:t>
      </w:r>
    </w:p>
    <w:p w:rsidR="00FE46B2" w:rsidRPr="00F5658D" w:rsidRDefault="00FE46B2" w:rsidP="00B46844">
      <w:pPr>
        <w:pStyle w:val="ListParagraph"/>
        <w:ind w:left="0"/>
        <w:contextualSpacing w:val="0"/>
        <w:jc w:val="both"/>
        <w:rPr>
          <w:rFonts w:ascii="Arial" w:hAnsi="Arial" w:cs="Arial"/>
        </w:rPr>
      </w:pPr>
      <w:r w:rsidRPr="00F5658D">
        <w:rPr>
          <w:rFonts w:ascii="Arial" w:hAnsi="Arial" w:cs="Arial"/>
        </w:rPr>
        <w:t xml:space="preserve">Where a credit rating agency announces that a </w:t>
      </w:r>
      <w:r w:rsidR="00451391" w:rsidRPr="00F5658D">
        <w:rPr>
          <w:rFonts w:ascii="Arial" w:hAnsi="Arial" w:cs="Arial"/>
        </w:rPr>
        <w:t>credit</w:t>
      </w:r>
      <w:r w:rsidR="00D246F4" w:rsidRPr="00F5658D">
        <w:rPr>
          <w:rFonts w:ascii="Arial" w:hAnsi="Arial" w:cs="Arial"/>
        </w:rPr>
        <w:t xml:space="preserve"> </w:t>
      </w:r>
      <w:r w:rsidRPr="00F5658D">
        <w:rPr>
          <w:rFonts w:ascii="Arial" w:hAnsi="Arial" w:cs="Arial"/>
        </w:rPr>
        <w:t xml:space="preserve">rating is on review for possible downgrade (also known as “rating watch negative” or “credit watch negative”) so that it </w:t>
      </w:r>
      <w:r w:rsidR="00D246F4" w:rsidRPr="00F5658D">
        <w:rPr>
          <w:rFonts w:ascii="Arial" w:hAnsi="Arial" w:cs="Arial"/>
        </w:rPr>
        <w:t>may</w:t>
      </w:r>
      <w:r w:rsidRPr="00F5658D">
        <w:rPr>
          <w:rFonts w:ascii="Arial" w:hAnsi="Arial" w:cs="Arial"/>
        </w:rPr>
        <w:t xml:space="preserve"> fall below the </w:t>
      </w:r>
      <w:r w:rsidRPr="00F5658D">
        <w:rPr>
          <w:rFonts w:ascii="Arial" w:hAnsi="Arial" w:cs="Arial"/>
        </w:rPr>
        <w:lastRenderedPageBreak/>
        <w:t>a</w:t>
      </w:r>
      <w:r w:rsidR="00C17890" w:rsidRPr="00F5658D">
        <w:rPr>
          <w:rFonts w:ascii="Arial" w:hAnsi="Arial" w:cs="Arial"/>
        </w:rPr>
        <w:t xml:space="preserve">pproved </w:t>
      </w:r>
      <w:r w:rsidR="005A29A3" w:rsidRPr="00F5658D">
        <w:rPr>
          <w:rFonts w:ascii="Arial" w:hAnsi="Arial" w:cs="Arial"/>
        </w:rPr>
        <w:t>rating</w:t>
      </w:r>
      <w:r w:rsidRPr="00F5658D">
        <w:rPr>
          <w:rFonts w:ascii="Arial" w:hAnsi="Arial" w:cs="Arial"/>
        </w:rPr>
        <w:t xml:space="preserve"> criteria, then </w:t>
      </w:r>
      <w:r w:rsidR="005A29A3" w:rsidRPr="00F5658D">
        <w:rPr>
          <w:rFonts w:ascii="Arial" w:hAnsi="Arial" w:cs="Arial"/>
        </w:rPr>
        <w:t>only</w:t>
      </w:r>
      <w:r w:rsidRPr="00F5658D">
        <w:rPr>
          <w:rFonts w:ascii="Arial" w:hAnsi="Arial" w:cs="Arial"/>
        </w:rPr>
        <w:t xml:space="preserve"> investments </w:t>
      </w:r>
      <w:r w:rsidR="005A29A3" w:rsidRPr="00F5658D">
        <w:rPr>
          <w:rFonts w:ascii="Arial" w:hAnsi="Arial" w:cs="Arial"/>
        </w:rPr>
        <w:t xml:space="preserve">that can be withdrawn </w:t>
      </w:r>
      <w:r w:rsidRPr="00F5658D">
        <w:rPr>
          <w:rFonts w:ascii="Arial" w:hAnsi="Arial" w:cs="Arial"/>
        </w:rPr>
        <w:t xml:space="preserve">will be made </w:t>
      </w:r>
      <w:r w:rsidR="005A29A3" w:rsidRPr="00F5658D">
        <w:rPr>
          <w:rFonts w:ascii="Arial" w:hAnsi="Arial" w:cs="Arial"/>
        </w:rPr>
        <w:t>with</w:t>
      </w:r>
      <w:r w:rsidRPr="00F5658D">
        <w:rPr>
          <w:rFonts w:ascii="Arial" w:hAnsi="Arial" w:cs="Arial"/>
        </w:rPr>
        <w:t xml:space="preserve"> that organisation until the outcome of the review is announced.  This policy will</w:t>
      </w:r>
      <w:r w:rsidR="00C17890" w:rsidRPr="00F5658D">
        <w:rPr>
          <w:rFonts w:ascii="Arial" w:hAnsi="Arial" w:cs="Arial"/>
        </w:rPr>
        <w:t xml:space="preserve"> not apply to negative outlooks, which indicate a long-term direction of travel rather than an imminent change of rating.</w:t>
      </w:r>
    </w:p>
    <w:p w:rsidR="00B46844" w:rsidRPr="00F5658D" w:rsidRDefault="00B46844" w:rsidP="00B46844">
      <w:pPr>
        <w:pStyle w:val="ListParagraph"/>
        <w:ind w:left="0"/>
        <w:contextualSpacing w:val="0"/>
        <w:jc w:val="both"/>
        <w:rPr>
          <w:rFonts w:ascii="Arial" w:hAnsi="Arial" w:cs="Arial"/>
        </w:rPr>
      </w:pPr>
      <w:r w:rsidRPr="00F5658D">
        <w:rPr>
          <w:rFonts w:ascii="Arial" w:hAnsi="Arial" w:cs="Arial"/>
          <w:b/>
        </w:rPr>
        <w:t>Other Information on the Security of Investments</w:t>
      </w:r>
      <w:r w:rsidRPr="00F5658D">
        <w:rPr>
          <w:rFonts w:ascii="Arial" w:hAnsi="Arial" w:cs="Arial"/>
        </w:rPr>
        <w:t xml:space="preserve">: The </w:t>
      </w:r>
      <w:r w:rsidR="008F4202" w:rsidRPr="00F5658D">
        <w:rPr>
          <w:rFonts w:ascii="Arial" w:hAnsi="Arial" w:cs="Arial"/>
        </w:rPr>
        <w:t>Authority</w:t>
      </w:r>
      <w:r w:rsidRPr="00F5658D">
        <w:rPr>
          <w:rFonts w:ascii="Arial" w:hAnsi="Arial" w:cs="Arial"/>
        </w:rPr>
        <w:t xml:space="preserve"> understands that credit ratings are good, but not perfect, predictors of investment default.  Full regard will therefore be given to other available information on the credit quality of the </w:t>
      </w:r>
      <w:r w:rsidR="00962A72" w:rsidRPr="00F5658D">
        <w:rPr>
          <w:rFonts w:ascii="Arial" w:hAnsi="Arial" w:cs="Arial"/>
        </w:rPr>
        <w:t>organisations,</w:t>
      </w:r>
      <w:r w:rsidRPr="00F5658D">
        <w:rPr>
          <w:rFonts w:ascii="Arial" w:hAnsi="Arial" w:cs="Arial"/>
        </w:rPr>
        <w:t xml:space="preserve"> in which it invests, including credit default swap prices, financial statements</w:t>
      </w:r>
      <w:r w:rsidR="005A29A3" w:rsidRPr="00F5658D">
        <w:rPr>
          <w:rFonts w:ascii="Arial" w:hAnsi="Arial" w:cs="Arial"/>
        </w:rPr>
        <w:t xml:space="preserve">, information on potential government support and </w:t>
      </w:r>
      <w:r w:rsidRPr="00F5658D">
        <w:rPr>
          <w:rFonts w:ascii="Arial" w:hAnsi="Arial" w:cs="Arial"/>
        </w:rPr>
        <w:t xml:space="preserve">reports in the quality financial press.  No investments will be made with an organisation if there are substantive doubts about its credit quality, even though it may meet the </w:t>
      </w:r>
      <w:r w:rsidR="005A29A3" w:rsidRPr="00F5658D">
        <w:rPr>
          <w:rFonts w:ascii="Arial" w:hAnsi="Arial" w:cs="Arial"/>
        </w:rPr>
        <w:t>credit rating</w:t>
      </w:r>
      <w:r w:rsidRPr="00F5658D">
        <w:rPr>
          <w:rFonts w:ascii="Arial" w:hAnsi="Arial" w:cs="Arial"/>
        </w:rPr>
        <w:t xml:space="preserve"> criteria.</w:t>
      </w:r>
    </w:p>
    <w:p w:rsidR="00B46844" w:rsidRPr="00F5658D" w:rsidRDefault="00B46844" w:rsidP="00B46844">
      <w:pPr>
        <w:pStyle w:val="ListParagraph"/>
        <w:ind w:left="0"/>
        <w:contextualSpacing w:val="0"/>
        <w:jc w:val="both"/>
        <w:rPr>
          <w:rFonts w:ascii="Arial" w:hAnsi="Arial" w:cs="Arial"/>
        </w:rPr>
      </w:pPr>
      <w:r w:rsidRPr="00F5658D">
        <w:rPr>
          <w:rFonts w:ascii="Arial" w:hAnsi="Arial" w:cs="Arial"/>
        </w:rPr>
        <w:t xml:space="preserve">When deteriorating financial market conditions affect the creditworthiness of all organisations, as happened in 2008 and 2011, this is not generally reflected in credit ratings, but can be seen in other market measures.  In these circumstances, the </w:t>
      </w:r>
      <w:r w:rsidR="008F4202" w:rsidRPr="00F5658D">
        <w:rPr>
          <w:rFonts w:ascii="Arial" w:hAnsi="Arial" w:cs="Arial"/>
        </w:rPr>
        <w:t>Authority</w:t>
      </w:r>
      <w:r w:rsidRPr="00F5658D">
        <w:rPr>
          <w:rFonts w:ascii="Arial" w:hAnsi="Arial" w:cs="Arial"/>
        </w:rPr>
        <w:t xml:space="preserve"> will restrict its investments to those organisations of higher credit quality and reduce the maximum duration of its investments to maintain the required level of security.  The extent of these restrictions will be in line with prevailing financial market conditions. If these restrictions mean that insufficie</w:t>
      </w:r>
      <w:r w:rsidR="005A29A3" w:rsidRPr="00F5658D">
        <w:rPr>
          <w:rFonts w:ascii="Arial" w:hAnsi="Arial" w:cs="Arial"/>
        </w:rPr>
        <w:t>nt commercial organisations of high credit quality</w:t>
      </w:r>
      <w:r w:rsidRPr="00F5658D">
        <w:rPr>
          <w:rFonts w:ascii="Arial" w:hAnsi="Arial" w:cs="Arial"/>
        </w:rPr>
        <w:t xml:space="preserve"> are available to invest the </w:t>
      </w:r>
      <w:r w:rsidR="008F4202" w:rsidRPr="00F5658D">
        <w:rPr>
          <w:rFonts w:ascii="Arial" w:hAnsi="Arial" w:cs="Arial"/>
        </w:rPr>
        <w:t>Authority</w:t>
      </w:r>
      <w:r w:rsidRPr="00F5658D">
        <w:rPr>
          <w:rFonts w:ascii="Arial" w:hAnsi="Arial" w:cs="Arial"/>
        </w:rPr>
        <w:t xml:space="preserve">’s cash balances, then the surplus will be deposited with the UK Government, via the Debt Management Office </w:t>
      </w:r>
      <w:r w:rsidR="00FC6923" w:rsidRPr="00F5658D">
        <w:rPr>
          <w:rFonts w:ascii="Arial" w:hAnsi="Arial" w:cs="Arial"/>
        </w:rPr>
        <w:t xml:space="preserve">or invested in government treasury bills </w:t>
      </w:r>
      <w:r w:rsidRPr="00F5658D">
        <w:rPr>
          <w:rFonts w:ascii="Arial" w:hAnsi="Arial" w:cs="Arial"/>
        </w:rPr>
        <w:t>for example, or with other local authorities.  This will cause a reduction in the level of investment income earned, but will protect the principal sum invested.</w:t>
      </w:r>
    </w:p>
    <w:p w:rsidR="004417EA" w:rsidRPr="00F5658D" w:rsidRDefault="00FA5BB4" w:rsidP="004417EA">
      <w:pPr>
        <w:jc w:val="both"/>
        <w:rPr>
          <w:rFonts w:ascii="Arial" w:hAnsi="Arial" w:cs="Arial"/>
        </w:rPr>
      </w:pPr>
      <w:r w:rsidRPr="00F5658D">
        <w:rPr>
          <w:rFonts w:ascii="Arial" w:hAnsi="Arial" w:cs="Arial"/>
          <w:b/>
        </w:rPr>
        <w:t>S</w:t>
      </w:r>
      <w:r w:rsidR="004417EA" w:rsidRPr="00F5658D">
        <w:rPr>
          <w:rFonts w:ascii="Arial" w:hAnsi="Arial" w:cs="Arial"/>
          <w:b/>
        </w:rPr>
        <w:t>pecified Investments</w:t>
      </w:r>
      <w:r w:rsidR="004417EA" w:rsidRPr="00F5658D">
        <w:rPr>
          <w:rFonts w:ascii="Arial" w:hAnsi="Arial" w:cs="Arial"/>
        </w:rPr>
        <w:t xml:space="preserve">: </w:t>
      </w:r>
      <w:r w:rsidR="00CC3DE6" w:rsidRPr="00F5658D">
        <w:rPr>
          <w:rFonts w:ascii="Arial" w:hAnsi="Arial" w:cs="Arial"/>
        </w:rPr>
        <w:t>The DOE</w:t>
      </w:r>
      <w:r w:rsidR="004417EA" w:rsidRPr="00F5658D">
        <w:rPr>
          <w:rFonts w:ascii="Arial" w:hAnsi="Arial" w:cs="Arial"/>
        </w:rPr>
        <w:t xml:space="preserve"> Guidance defines specified investments as those:</w:t>
      </w:r>
    </w:p>
    <w:p w:rsidR="00753088" w:rsidRPr="00F5658D" w:rsidRDefault="00753088" w:rsidP="00753088">
      <w:pPr>
        <w:numPr>
          <w:ilvl w:val="0"/>
          <w:numId w:val="4"/>
        </w:numPr>
        <w:spacing w:after="0"/>
        <w:jc w:val="both"/>
        <w:rPr>
          <w:rFonts w:ascii="Arial" w:hAnsi="Arial" w:cs="Arial"/>
        </w:rPr>
      </w:pPr>
      <w:r w:rsidRPr="00F5658D">
        <w:rPr>
          <w:rFonts w:ascii="Arial" w:hAnsi="Arial" w:cs="Arial"/>
        </w:rPr>
        <w:t>denominated in pound sterling,</w:t>
      </w:r>
    </w:p>
    <w:p w:rsidR="00753088" w:rsidRPr="00F5658D" w:rsidRDefault="00753088" w:rsidP="00753088">
      <w:pPr>
        <w:numPr>
          <w:ilvl w:val="0"/>
          <w:numId w:val="4"/>
        </w:numPr>
        <w:spacing w:after="0"/>
        <w:jc w:val="both"/>
        <w:rPr>
          <w:rFonts w:ascii="Arial" w:hAnsi="Arial" w:cs="Arial"/>
        </w:rPr>
      </w:pPr>
      <w:r w:rsidRPr="00F5658D">
        <w:rPr>
          <w:rFonts w:ascii="Arial" w:hAnsi="Arial" w:cs="Arial"/>
        </w:rPr>
        <w:t>due to be repaid within 12 months of arrangement,</w:t>
      </w:r>
    </w:p>
    <w:p w:rsidR="00753088" w:rsidRPr="00F5658D" w:rsidRDefault="00753088" w:rsidP="00753088">
      <w:pPr>
        <w:numPr>
          <w:ilvl w:val="0"/>
          <w:numId w:val="4"/>
        </w:numPr>
        <w:spacing w:after="0"/>
        <w:jc w:val="both"/>
        <w:rPr>
          <w:rFonts w:ascii="Arial" w:hAnsi="Arial" w:cs="Arial"/>
        </w:rPr>
      </w:pPr>
      <w:r w:rsidRPr="00F5658D">
        <w:rPr>
          <w:rFonts w:ascii="Arial" w:hAnsi="Arial" w:cs="Arial"/>
        </w:rPr>
        <w:t>not defined as capital expenditure by legislation,</w:t>
      </w:r>
    </w:p>
    <w:p w:rsidR="00753088" w:rsidRPr="00F5658D" w:rsidRDefault="00753088" w:rsidP="00753088">
      <w:pPr>
        <w:numPr>
          <w:ilvl w:val="0"/>
          <w:numId w:val="4"/>
        </w:numPr>
        <w:spacing w:after="0"/>
        <w:jc w:val="both"/>
        <w:rPr>
          <w:rFonts w:ascii="Arial" w:hAnsi="Arial" w:cs="Arial"/>
        </w:rPr>
      </w:pPr>
      <w:r w:rsidRPr="00F5658D">
        <w:rPr>
          <w:rFonts w:ascii="Arial" w:hAnsi="Arial" w:cs="Arial"/>
        </w:rPr>
        <w:t>invested with one of:</w:t>
      </w:r>
    </w:p>
    <w:p w:rsidR="00753088" w:rsidRPr="00F5658D" w:rsidRDefault="00753088" w:rsidP="00753088">
      <w:pPr>
        <w:numPr>
          <w:ilvl w:val="1"/>
          <w:numId w:val="4"/>
        </w:numPr>
        <w:spacing w:after="0"/>
        <w:jc w:val="both"/>
        <w:rPr>
          <w:rFonts w:ascii="Arial" w:hAnsi="Arial" w:cs="Arial"/>
        </w:rPr>
      </w:pPr>
      <w:r w:rsidRPr="00F5658D">
        <w:rPr>
          <w:rFonts w:ascii="Arial" w:hAnsi="Arial" w:cs="Arial"/>
        </w:rPr>
        <w:t>the UK Government,</w:t>
      </w:r>
    </w:p>
    <w:p w:rsidR="00753088" w:rsidRPr="00F5658D" w:rsidRDefault="00753088" w:rsidP="00753088">
      <w:pPr>
        <w:numPr>
          <w:ilvl w:val="1"/>
          <w:numId w:val="4"/>
        </w:numPr>
        <w:spacing w:after="0"/>
        <w:jc w:val="both"/>
        <w:rPr>
          <w:rFonts w:ascii="Arial" w:hAnsi="Arial" w:cs="Arial"/>
        </w:rPr>
      </w:pPr>
      <w:r w:rsidRPr="00F5658D">
        <w:rPr>
          <w:rFonts w:ascii="Arial" w:hAnsi="Arial" w:cs="Arial"/>
        </w:rPr>
        <w:t>a UK local authority, parish council or community council, or</w:t>
      </w:r>
    </w:p>
    <w:p w:rsidR="00753088" w:rsidRPr="00F5658D" w:rsidRDefault="00753088" w:rsidP="00753088">
      <w:pPr>
        <w:numPr>
          <w:ilvl w:val="1"/>
          <w:numId w:val="4"/>
        </w:numPr>
        <w:spacing w:after="0"/>
        <w:jc w:val="both"/>
        <w:rPr>
          <w:rFonts w:ascii="Arial" w:hAnsi="Arial" w:cs="Arial"/>
        </w:rPr>
      </w:pPr>
      <w:r w:rsidRPr="00F5658D">
        <w:rPr>
          <w:rFonts w:ascii="Arial" w:hAnsi="Arial" w:cs="Arial"/>
        </w:rPr>
        <w:t>a body or investment scheme of “high credit rating”, and</w:t>
      </w:r>
    </w:p>
    <w:p w:rsidR="00753088" w:rsidRPr="00F5658D" w:rsidRDefault="00753088" w:rsidP="00753088">
      <w:pPr>
        <w:numPr>
          <w:ilvl w:val="0"/>
          <w:numId w:val="4"/>
        </w:numPr>
        <w:ind w:left="709" w:hanging="349"/>
        <w:rPr>
          <w:rFonts w:ascii="Arial" w:hAnsi="Arial" w:cs="Arial"/>
        </w:rPr>
      </w:pPr>
      <w:r w:rsidRPr="00F5658D">
        <w:rPr>
          <w:rFonts w:ascii="Arial" w:hAnsi="Arial" w:cs="Arial"/>
        </w:rPr>
        <w:t>where the principal sum to be repaid at maturity is the same as the initial sum invested, other than investments in the UK Government.</w:t>
      </w:r>
    </w:p>
    <w:p w:rsidR="00B73BA4" w:rsidRPr="00F5658D" w:rsidRDefault="00B73BA4" w:rsidP="004417EA">
      <w:pPr>
        <w:jc w:val="both"/>
        <w:rPr>
          <w:rFonts w:ascii="Arial" w:hAnsi="Arial" w:cs="Arial"/>
        </w:rPr>
      </w:pPr>
      <w:r w:rsidRPr="00F5658D">
        <w:rPr>
          <w:rFonts w:ascii="Arial" w:hAnsi="Arial" w:cs="Arial"/>
        </w:rPr>
        <w:t xml:space="preserve">The Authority defines “high credit </w:t>
      </w:r>
      <w:r w:rsidR="00753088" w:rsidRPr="00F5658D">
        <w:rPr>
          <w:rFonts w:ascii="Arial" w:hAnsi="Arial" w:cs="Arial"/>
        </w:rPr>
        <w:t>rating</w:t>
      </w:r>
      <w:r w:rsidRPr="00F5658D">
        <w:rPr>
          <w:rFonts w:ascii="Arial" w:hAnsi="Arial" w:cs="Arial"/>
        </w:rPr>
        <w:t xml:space="preserve">” organisations </w:t>
      </w:r>
      <w:r w:rsidR="0035799D" w:rsidRPr="00F5658D">
        <w:rPr>
          <w:rFonts w:ascii="Arial" w:hAnsi="Arial" w:cs="Arial"/>
        </w:rPr>
        <w:t xml:space="preserve">and securities </w:t>
      </w:r>
      <w:r w:rsidRPr="00F5658D">
        <w:rPr>
          <w:rFonts w:ascii="Arial" w:hAnsi="Arial" w:cs="Arial"/>
        </w:rPr>
        <w:t xml:space="preserve">as those having a credit rating of </w:t>
      </w:r>
      <w:r w:rsidR="006B2197">
        <w:rPr>
          <w:rFonts w:ascii="Arial" w:hAnsi="Arial" w:cs="Arial"/>
        </w:rPr>
        <w:t>[</w:t>
      </w:r>
      <w:r w:rsidRPr="006B2197">
        <w:rPr>
          <w:rFonts w:ascii="Arial" w:hAnsi="Arial" w:cs="Arial"/>
        </w:rPr>
        <w:t xml:space="preserve">A-] </w:t>
      </w:r>
      <w:r w:rsidRPr="00F5658D">
        <w:rPr>
          <w:rFonts w:ascii="Arial" w:hAnsi="Arial" w:cs="Arial"/>
        </w:rPr>
        <w:t xml:space="preserve">or higher that are domiciled in the UK or a foreign country with a sovereign rating of </w:t>
      </w:r>
      <w:r w:rsidRPr="006B2197">
        <w:rPr>
          <w:rFonts w:ascii="Arial" w:hAnsi="Arial" w:cs="Arial"/>
        </w:rPr>
        <w:t>[AA+]</w:t>
      </w:r>
      <w:r w:rsidRPr="00F5658D">
        <w:rPr>
          <w:rFonts w:ascii="Arial" w:hAnsi="Arial" w:cs="Arial"/>
          <w:color w:val="AF173B"/>
        </w:rPr>
        <w:t xml:space="preserve"> </w:t>
      </w:r>
      <w:r w:rsidRPr="00F5658D">
        <w:rPr>
          <w:rFonts w:ascii="Arial" w:hAnsi="Arial" w:cs="Arial"/>
        </w:rPr>
        <w:t xml:space="preserve">or higher. For money market funds and other pooled funds “high credit </w:t>
      </w:r>
      <w:r w:rsidR="00753088" w:rsidRPr="00F5658D">
        <w:rPr>
          <w:rFonts w:ascii="Arial" w:hAnsi="Arial" w:cs="Arial"/>
        </w:rPr>
        <w:t>rating</w:t>
      </w:r>
      <w:r w:rsidRPr="00F5658D">
        <w:rPr>
          <w:rFonts w:ascii="Arial" w:hAnsi="Arial" w:cs="Arial"/>
        </w:rPr>
        <w:t xml:space="preserve">” is defined as those having a credit rating of </w:t>
      </w:r>
      <w:r w:rsidRPr="00317463">
        <w:rPr>
          <w:rFonts w:ascii="Arial" w:hAnsi="Arial" w:cs="Arial"/>
        </w:rPr>
        <w:t>[A-]</w:t>
      </w:r>
      <w:r w:rsidRPr="00F5658D">
        <w:rPr>
          <w:rFonts w:ascii="Arial" w:hAnsi="Arial" w:cs="Arial"/>
          <w:color w:val="AF173B"/>
        </w:rPr>
        <w:t xml:space="preserve"> </w:t>
      </w:r>
      <w:r w:rsidRPr="00F5658D">
        <w:rPr>
          <w:rFonts w:ascii="Arial" w:hAnsi="Arial" w:cs="Arial"/>
        </w:rPr>
        <w:t>or higher.</w:t>
      </w:r>
    </w:p>
    <w:p w:rsidR="005A29A3" w:rsidRPr="00F5658D" w:rsidRDefault="00FA5BB4" w:rsidP="00317463">
      <w:pPr>
        <w:jc w:val="both"/>
        <w:rPr>
          <w:rFonts w:ascii="Arial" w:hAnsi="Arial" w:cs="Arial"/>
        </w:rPr>
      </w:pPr>
      <w:r w:rsidRPr="00F5658D">
        <w:rPr>
          <w:rFonts w:ascii="Arial" w:hAnsi="Arial" w:cs="Arial"/>
          <w:b/>
        </w:rPr>
        <w:t>Non-specified Investments</w:t>
      </w:r>
      <w:r w:rsidRPr="00F5658D">
        <w:rPr>
          <w:rFonts w:ascii="Arial" w:hAnsi="Arial" w:cs="Arial"/>
        </w:rPr>
        <w:t xml:space="preserve">: </w:t>
      </w:r>
      <w:r w:rsidR="00753088" w:rsidRPr="00F5658D">
        <w:rPr>
          <w:rFonts w:ascii="Arial" w:hAnsi="Arial" w:cs="Arial"/>
        </w:rPr>
        <w:t xml:space="preserve">The Authority does not intend to make any investments </w:t>
      </w:r>
      <w:r w:rsidR="00317463">
        <w:rPr>
          <w:rFonts w:ascii="Arial" w:hAnsi="Arial" w:cs="Arial"/>
        </w:rPr>
        <w:t xml:space="preserve">in </w:t>
      </w:r>
      <w:r w:rsidR="00962A72">
        <w:rPr>
          <w:rFonts w:ascii="Arial" w:hAnsi="Arial" w:cs="Arial"/>
        </w:rPr>
        <w:t>non-specified</w:t>
      </w:r>
      <w:r w:rsidR="00317463">
        <w:rPr>
          <w:rFonts w:ascii="Arial" w:hAnsi="Arial" w:cs="Arial"/>
        </w:rPr>
        <w:t xml:space="preserve"> investments.</w:t>
      </w:r>
      <w:r w:rsidR="00317463" w:rsidRPr="00F5658D">
        <w:rPr>
          <w:rFonts w:ascii="Arial" w:hAnsi="Arial" w:cs="Arial"/>
        </w:rPr>
        <w:t xml:space="preserve"> </w:t>
      </w:r>
    </w:p>
    <w:p w:rsidR="004B716C" w:rsidRDefault="00B46844" w:rsidP="00B46844">
      <w:pPr>
        <w:jc w:val="both"/>
        <w:rPr>
          <w:rFonts w:ascii="Arial" w:hAnsi="Arial" w:cs="Arial"/>
        </w:rPr>
      </w:pPr>
      <w:r w:rsidRPr="00F5658D">
        <w:rPr>
          <w:rFonts w:ascii="Arial" w:hAnsi="Arial" w:cs="Arial"/>
          <w:b/>
        </w:rPr>
        <w:t>Investment Limits</w:t>
      </w:r>
      <w:r w:rsidRPr="00F5658D">
        <w:rPr>
          <w:rFonts w:ascii="Arial" w:hAnsi="Arial" w:cs="Arial"/>
        </w:rPr>
        <w:t xml:space="preserve">: The </w:t>
      </w:r>
      <w:r w:rsidR="008F4202" w:rsidRPr="00F5658D">
        <w:rPr>
          <w:rFonts w:ascii="Arial" w:hAnsi="Arial" w:cs="Arial"/>
        </w:rPr>
        <w:t>Authority</w:t>
      </w:r>
      <w:r w:rsidRPr="00F5658D">
        <w:rPr>
          <w:rFonts w:ascii="Arial" w:hAnsi="Arial" w:cs="Arial"/>
        </w:rPr>
        <w:t xml:space="preserve">’s revenue reserves available to cover investment losses are forecast to be </w:t>
      </w:r>
      <w:r w:rsidR="00243E06" w:rsidRPr="00F5658D">
        <w:rPr>
          <w:rFonts w:ascii="Arial" w:hAnsi="Arial" w:cs="Arial"/>
        </w:rPr>
        <w:t>£</w:t>
      </w:r>
      <w:r w:rsidR="00317463" w:rsidRPr="00317463">
        <w:rPr>
          <w:rFonts w:ascii="Arial" w:hAnsi="Arial" w:cs="Arial"/>
        </w:rPr>
        <w:t>8</w:t>
      </w:r>
      <w:r w:rsidR="00243E06" w:rsidRPr="00F5658D">
        <w:rPr>
          <w:rFonts w:ascii="Arial" w:hAnsi="Arial" w:cs="Arial"/>
        </w:rPr>
        <w:t xml:space="preserve"> </w:t>
      </w:r>
      <w:r w:rsidRPr="00F5658D">
        <w:rPr>
          <w:rFonts w:ascii="Arial" w:hAnsi="Arial" w:cs="Arial"/>
        </w:rPr>
        <w:t>million on 31st March 201</w:t>
      </w:r>
      <w:r w:rsidR="00A955A8" w:rsidRPr="00F5658D">
        <w:rPr>
          <w:rFonts w:ascii="Arial" w:hAnsi="Arial" w:cs="Arial"/>
        </w:rPr>
        <w:t>6</w:t>
      </w:r>
      <w:r w:rsidRPr="00F5658D">
        <w:rPr>
          <w:rFonts w:ascii="Arial" w:hAnsi="Arial" w:cs="Arial"/>
        </w:rPr>
        <w:t xml:space="preserve">.  In order that no more than </w:t>
      </w:r>
      <w:r w:rsidR="00317463" w:rsidRPr="00317463">
        <w:rPr>
          <w:rFonts w:ascii="Arial" w:hAnsi="Arial" w:cs="Arial"/>
        </w:rPr>
        <w:t>25%</w:t>
      </w:r>
      <w:r w:rsidR="00243E06" w:rsidRPr="00F5658D">
        <w:rPr>
          <w:rFonts w:ascii="Arial" w:hAnsi="Arial" w:cs="Arial"/>
        </w:rPr>
        <w:t xml:space="preserve"> </w:t>
      </w:r>
      <w:r w:rsidRPr="00F5658D">
        <w:rPr>
          <w:rFonts w:ascii="Arial" w:hAnsi="Arial" w:cs="Arial"/>
        </w:rPr>
        <w:t xml:space="preserve">of available reserves will be put at risk in the case of a single default, the maximum that will be lent to any one organisation (other than the UK Government) will be </w:t>
      </w:r>
      <w:r w:rsidR="00243E06" w:rsidRPr="00F5658D">
        <w:rPr>
          <w:rFonts w:ascii="Arial" w:hAnsi="Arial" w:cs="Arial"/>
        </w:rPr>
        <w:t>£</w:t>
      </w:r>
      <w:r w:rsidR="00317463" w:rsidRPr="00317463">
        <w:rPr>
          <w:rFonts w:ascii="Arial" w:hAnsi="Arial" w:cs="Arial"/>
        </w:rPr>
        <w:t>2</w:t>
      </w:r>
      <w:r w:rsidR="00243E06" w:rsidRPr="00F5658D">
        <w:rPr>
          <w:rFonts w:ascii="Arial" w:hAnsi="Arial" w:cs="Arial"/>
        </w:rPr>
        <w:t xml:space="preserve"> </w:t>
      </w:r>
      <w:r w:rsidRPr="00F5658D">
        <w:rPr>
          <w:rFonts w:ascii="Arial" w:hAnsi="Arial" w:cs="Arial"/>
        </w:rPr>
        <w:t xml:space="preserve">million.  A group of banks under the same ownership will be treated as a single organisation for limit purposes.  </w:t>
      </w:r>
    </w:p>
    <w:p w:rsidR="00B91F30" w:rsidRPr="00F5658D" w:rsidRDefault="00B91F30" w:rsidP="00B46844">
      <w:pPr>
        <w:jc w:val="both"/>
        <w:rPr>
          <w:rFonts w:ascii="Arial" w:hAnsi="Arial" w:cs="Arial"/>
          <w:u w:val="single"/>
        </w:rPr>
      </w:pPr>
      <w:r w:rsidRPr="00F5658D">
        <w:rPr>
          <w:rFonts w:ascii="Arial" w:hAnsi="Arial" w:cs="Arial"/>
          <w:u w:val="single"/>
        </w:rPr>
        <w:lastRenderedPageBreak/>
        <w:t xml:space="preserve">Table </w:t>
      </w:r>
      <w:r w:rsidR="004B716C">
        <w:rPr>
          <w:rFonts w:ascii="Arial" w:hAnsi="Arial" w:cs="Arial"/>
          <w:u w:val="single"/>
        </w:rPr>
        <w:t>2</w:t>
      </w:r>
      <w:r w:rsidRPr="00F5658D">
        <w:rPr>
          <w:rFonts w:ascii="Arial" w:hAnsi="Arial" w:cs="Arial"/>
          <w:u w:val="single"/>
        </w:rPr>
        <w:t>: Investment Limits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B91F30" w:rsidRPr="00F5658D" w:rsidTr="00834018">
        <w:trPr>
          <w:trHeight w:val="340"/>
        </w:trPr>
        <w:tc>
          <w:tcPr>
            <w:tcW w:w="5670" w:type="dxa"/>
            <w:shd w:val="clear" w:color="auto" w:fill="auto"/>
            <w:vAlign w:val="center"/>
          </w:tcPr>
          <w:p w:rsidR="00B91F30" w:rsidRPr="00F5658D" w:rsidRDefault="00B91F30" w:rsidP="00641922">
            <w:pPr>
              <w:pStyle w:val="ListParagraph"/>
              <w:spacing w:after="0"/>
              <w:ind w:left="0"/>
              <w:contextualSpacing w:val="0"/>
              <w:rPr>
                <w:rFonts w:ascii="Arial" w:eastAsia="Times New Roman" w:hAnsi="Arial" w:cs="Arial"/>
                <w:b/>
              </w:rPr>
            </w:pPr>
          </w:p>
        </w:tc>
        <w:tc>
          <w:tcPr>
            <w:tcW w:w="2693" w:type="dxa"/>
            <w:shd w:val="clear" w:color="auto" w:fill="auto"/>
            <w:vAlign w:val="center"/>
          </w:tcPr>
          <w:p w:rsidR="00B91F30" w:rsidRPr="00F5658D" w:rsidRDefault="00B91F30" w:rsidP="00641922">
            <w:pPr>
              <w:pStyle w:val="ListParagraph"/>
              <w:spacing w:after="0"/>
              <w:ind w:left="0"/>
              <w:contextualSpacing w:val="0"/>
              <w:jc w:val="center"/>
              <w:rPr>
                <w:rFonts w:ascii="Arial" w:eastAsia="Times New Roman" w:hAnsi="Arial" w:cs="Arial"/>
                <w:b/>
              </w:rPr>
            </w:pPr>
            <w:r w:rsidRPr="00F5658D">
              <w:rPr>
                <w:rFonts w:ascii="Arial" w:eastAsia="Times New Roman" w:hAnsi="Arial" w:cs="Arial"/>
                <w:b/>
              </w:rPr>
              <w:t>Cash limit</w:t>
            </w:r>
          </w:p>
        </w:tc>
      </w:tr>
      <w:tr w:rsidR="00B91F30" w:rsidRPr="00F5658D" w:rsidTr="00834018">
        <w:trPr>
          <w:trHeight w:val="340"/>
        </w:trPr>
        <w:tc>
          <w:tcPr>
            <w:tcW w:w="5670" w:type="dxa"/>
            <w:shd w:val="clear" w:color="auto" w:fill="auto"/>
            <w:vAlign w:val="center"/>
          </w:tcPr>
          <w:p w:rsidR="00B91F30" w:rsidRPr="00F5658D" w:rsidRDefault="00B91F30" w:rsidP="00641922">
            <w:pPr>
              <w:pStyle w:val="ListParagraph"/>
              <w:spacing w:after="0"/>
              <w:ind w:left="0"/>
              <w:contextualSpacing w:val="0"/>
              <w:rPr>
                <w:rFonts w:ascii="Arial" w:eastAsia="Times New Roman" w:hAnsi="Arial" w:cs="Arial"/>
              </w:rPr>
            </w:pPr>
            <w:r w:rsidRPr="00F5658D">
              <w:rPr>
                <w:rFonts w:ascii="Arial" w:eastAsia="Times New Roman" w:hAnsi="Arial" w:cs="Arial"/>
              </w:rPr>
              <w:t>Any single organisation, except the UK Central Government</w:t>
            </w:r>
          </w:p>
        </w:tc>
        <w:tc>
          <w:tcPr>
            <w:tcW w:w="2693" w:type="dxa"/>
            <w:shd w:val="clear" w:color="auto" w:fill="auto"/>
            <w:vAlign w:val="center"/>
          </w:tcPr>
          <w:p w:rsidR="00B91F30" w:rsidRPr="00317463" w:rsidRDefault="00243E06" w:rsidP="009977C6">
            <w:pPr>
              <w:pStyle w:val="ListParagraph"/>
              <w:spacing w:after="0"/>
              <w:ind w:left="0"/>
              <w:contextualSpacing w:val="0"/>
              <w:jc w:val="center"/>
              <w:rPr>
                <w:rFonts w:ascii="Arial" w:eastAsia="Times New Roman" w:hAnsi="Arial" w:cs="Arial"/>
              </w:rPr>
            </w:pPr>
            <w:r w:rsidRPr="00317463">
              <w:rPr>
                <w:rFonts w:ascii="Arial" w:hAnsi="Arial" w:cs="Arial"/>
              </w:rPr>
              <w:t>£</w:t>
            </w:r>
            <w:r w:rsidR="00317463" w:rsidRPr="00317463">
              <w:rPr>
                <w:rFonts w:ascii="Arial" w:hAnsi="Arial" w:cs="Arial"/>
              </w:rPr>
              <w:t>2</w:t>
            </w:r>
            <w:r w:rsidRPr="00317463">
              <w:rPr>
                <w:rFonts w:ascii="Arial" w:hAnsi="Arial" w:cs="Arial"/>
              </w:rPr>
              <w:t>m</w:t>
            </w:r>
            <w:r w:rsidRPr="00317463">
              <w:rPr>
                <w:rFonts w:ascii="Arial" w:eastAsia="Times New Roman" w:hAnsi="Arial" w:cs="Arial"/>
              </w:rPr>
              <w:t xml:space="preserve"> </w:t>
            </w:r>
            <w:r w:rsidR="00B91F30" w:rsidRPr="00317463">
              <w:rPr>
                <w:rFonts w:ascii="Arial" w:eastAsia="Times New Roman" w:hAnsi="Arial" w:cs="Arial"/>
              </w:rPr>
              <w:t>each</w:t>
            </w:r>
          </w:p>
        </w:tc>
      </w:tr>
      <w:tr w:rsidR="00B91F30" w:rsidRPr="00F5658D" w:rsidTr="00834018">
        <w:trPr>
          <w:trHeight w:val="340"/>
        </w:trPr>
        <w:tc>
          <w:tcPr>
            <w:tcW w:w="5670" w:type="dxa"/>
            <w:shd w:val="clear" w:color="auto" w:fill="auto"/>
            <w:vAlign w:val="center"/>
          </w:tcPr>
          <w:p w:rsidR="00B91F30" w:rsidRPr="00F5658D" w:rsidRDefault="00B91F30" w:rsidP="00641922">
            <w:pPr>
              <w:pStyle w:val="ListParagraph"/>
              <w:spacing w:after="0"/>
              <w:ind w:left="0"/>
              <w:contextualSpacing w:val="0"/>
              <w:rPr>
                <w:rFonts w:ascii="Arial" w:eastAsia="Times New Roman" w:hAnsi="Arial" w:cs="Arial"/>
              </w:rPr>
            </w:pPr>
            <w:r w:rsidRPr="00F5658D">
              <w:rPr>
                <w:rFonts w:ascii="Arial" w:eastAsia="Times New Roman" w:hAnsi="Arial" w:cs="Arial"/>
              </w:rPr>
              <w:t>UK Central Government</w:t>
            </w:r>
          </w:p>
        </w:tc>
        <w:tc>
          <w:tcPr>
            <w:tcW w:w="2693" w:type="dxa"/>
            <w:shd w:val="clear" w:color="auto" w:fill="auto"/>
            <w:vAlign w:val="center"/>
          </w:tcPr>
          <w:p w:rsidR="00B91F30" w:rsidRPr="00F5658D" w:rsidRDefault="00B91F30" w:rsidP="00641922">
            <w:pPr>
              <w:pStyle w:val="ListParagraph"/>
              <w:spacing w:after="0"/>
              <w:ind w:left="0"/>
              <w:contextualSpacing w:val="0"/>
              <w:jc w:val="center"/>
              <w:rPr>
                <w:rFonts w:ascii="Arial" w:eastAsia="Times New Roman" w:hAnsi="Arial" w:cs="Arial"/>
              </w:rPr>
            </w:pPr>
            <w:r w:rsidRPr="00F5658D">
              <w:rPr>
                <w:rFonts w:ascii="Arial" w:eastAsia="Times New Roman" w:hAnsi="Arial" w:cs="Arial"/>
              </w:rPr>
              <w:t>unlimited</w:t>
            </w:r>
          </w:p>
        </w:tc>
      </w:tr>
      <w:tr w:rsidR="00B91F30" w:rsidRPr="00F5658D" w:rsidTr="00834018">
        <w:trPr>
          <w:trHeight w:val="340"/>
        </w:trPr>
        <w:tc>
          <w:tcPr>
            <w:tcW w:w="5670" w:type="dxa"/>
            <w:shd w:val="clear" w:color="auto" w:fill="auto"/>
            <w:vAlign w:val="center"/>
          </w:tcPr>
          <w:p w:rsidR="00B91F30" w:rsidRPr="00F5658D" w:rsidRDefault="00B91F30" w:rsidP="00641922">
            <w:pPr>
              <w:pStyle w:val="ListParagraph"/>
              <w:spacing w:after="0"/>
              <w:ind w:left="0"/>
              <w:contextualSpacing w:val="0"/>
              <w:rPr>
                <w:rFonts w:ascii="Arial" w:eastAsia="Times New Roman" w:hAnsi="Arial" w:cs="Arial"/>
              </w:rPr>
            </w:pPr>
            <w:r w:rsidRPr="00F5658D">
              <w:rPr>
                <w:rFonts w:ascii="Arial" w:eastAsia="Times New Roman" w:hAnsi="Arial" w:cs="Arial"/>
              </w:rPr>
              <w:t>Any group of organisations under the same ownership</w:t>
            </w:r>
          </w:p>
        </w:tc>
        <w:tc>
          <w:tcPr>
            <w:tcW w:w="2693" w:type="dxa"/>
            <w:shd w:val="clear" w:color="auto" w:fill="auto"/>
            <w:vAlign w:val="center"/>
          </w:tcPr>
          <w:p w:rsidR="00B91F30" w:rsidRPr="00F5658D" w:rsidRDefault="00317463" w:rsidP="009977C6">
            <w:pPr>
              <w:pStyle w:val="ListParagraph"/>
              <w:spacing w:after="0"/>
              <w:ind w:left="0"/>
              <w:contextualSpacing w:val="0"/>
              <w:jc w:val="center"/>
              <w:rPr>
                <w:rFonts w:ascii="Arial" w:eastAsia="Times New Roman" w:hAnsi="Arial" w:cs="Arial"/>
              </w:rPr>
            </w:pPr>
            <w:r>
              <w:rPr>
                <w:rFonts w:ascii="Arial" w:hAnsi="Arial" w:cs="Arial"/>
              </w:rPr>
              <w:t>£2</w:t>
            </w:r>
            <w:r w:rsidR="00243E06" w:rsidRPr="00F5658D">
              <w:rPr>
                <w:rFonts w:ascii="Arial" w:hAnsi="Arial" w:cs="Arial"/>
              </w:rPr>
              <w:t>m</w:t>
            </w:r>
            <w:r w:rsidR="00243E06" w:rsidRPr="00F5658D">
              <w:rPr>
                <w:rFonts w:ascii="Arial" w:eastAsia="Times New Roman" w:hAnsi="Arial" w:cs="Arial"/>
              </w:rPr>
              <w:t xml:space="preserve"> </w:t>
            </w:r>
            <w:r w:rsidR="00B91F30" w:rsidRPr="00F5658D">
              <w:rPr>
                <w:rFonts w:ascii="Arial" w:eastAsia="Times New Roman" w:hAnsi="Arial" w:cs="Arial"/>
              </w:rPr>
              <w:t>per group</w:t>
            </w:r>
          </w:p>
        </w:tc>
      </w:tr>
    </w:tbl>
    <w:p w:rsidR="00B91F30" w:rsidRPr="00F5658D" w:rsidRDefault="00B91F30" w:rsidP="00B46844">
      <w:pPr>
        <w:jc w:val="both"/>
        <w:rPr>
          <w:rFonts w:ascii="Arial" w:hAnsi="Arial" w:cs="Arial"/>
        </w:rPr>
      </w:pPr>
    </w:p>
    <w:p w:rsidR="00820497" w:rsidRPr="00F5658D" w:rsidRDefault="00820497" w:rsidP="00820497">
      <w:pPr>
        <w:pStyle w:val="ListParagraph"/>
        <w:ind w:left="0"/>
        <w:contextualSpacing w:val="0"/>
        <w:jc w:val="both"/>
        <w:rPr>
          <w:rFonts w:ascii="Arial" w:hAnsi="Arial" w:cs="Arial"/>
          <w:b/>
        </w:rPr>
      </w:pPr>
      <w:r w:rsidRPr="00F5658D">
        <w:rPr>
          <w:rFonts w:ascii="Arial" w:hAnsi="Arial" w:cs="Arial"/>
          <w:b/>
        </w:rPr>
        <w:t xml:space="preserve">Liquidity </w:t>
      </w:r>
      <w:r w:rsidR="00C82115" w:rsidRPr="00F5658D">
        <w:rPr>
          <w:rFonts w:ascii="Arial" w:hAnsi="Arial" w:cs="Arial"/>
          <w:b/>
        </w:rPr>
        <w:t>M</w:t>
      </w:r>
      <w:r w:rsidRPr="00F5658D">
        <w:rPr>
          <w:rFonts w:ascii="Arial" w:hAnsi="Arial" w:cs="Arial"/>
          <w:b/>
        </w:rPr>
        <w:t>anagement</w:t>
      </w:r>
      <w:r w:rsidRPr="00F5658D">
        <w:rPr>
          <w:rFonts w:ascii="Arial" w:hAnsi="Arial" w:cs="Arial"/>
        </w:rPr>
        <w:t xml:space="preserve">: The </w:t>
      </w:r>
      <w:r w:rsidR="008F4202" w:rsidRPr="00F5658D">
        <w:rPr>
          <w:rFonts w:ascii="Arial" w:hAnsi="Arial" w:cs="Arial"/>
        </w:rPr>
        <w:t>Authority</w:t>
      </w:r>
      <w:r w:rsidR="00317463">
        <w:rPr>
          <w:rFonts w:ascii="Arial" w:hAnsi="Arial" w:cs="Arial"/>
        </w:rPr>
        <w:t xml:space="preserve"> uses </w:t>
      </w:r>
      <w:r w:rsidR="00962A72">
        <w:rPr>
          <w:rFonts w:ascii="Arial" w:hAnsi="Arial" w:cs="Arial"/>
        </w:rPr>
        <w:t>spread sheets</w:t>
      </w:r>
      <w:r w:rsidR="00317463">
        <w:rPr>
          <w:rFonts w:ascii="Arial" w:hAnsi="Arial" w:cs="Arial"/>
        </w:rPr>
        <w:t xml:space="preserve"> for</w:t>
      </w:r>
      <w:r w:rsidRPr="00F5658D">
        <w:rPr>
          <w:rFonts w:ascii="Arial" w:hAnsi="Arial" w:cs="Arial"/>
        </w:rPr>
        <w:t xml:space="preserve"> cash flow to determine the maximum period for which funds may prudently be committed.  The forecast is compiled on a </w:t>
      </w:r>
      <w:r w:rsidR="001D4C40" w:rsidRPr="00317463">
        <w:rPr>
          <w:rFonts w:ascii="Arial" w:hAnsi="Arial" w:cs="Arial"/>
        </w:rPr>
        <w:t>prudent</w:t>
      </w:r>
      <w:r w:rsidRPr="00F5658D">
        <w:rPr>
          <w:rFonts w:ascii="Arial" w:hAnsi="Arial" w:cs="Arial"/>
        </w:rPr>
        <w:t xml:space="preserve"> basis to minimise the risk of the </w:t>
      </w:r>
      <w:r w:rsidR="008F4202" w:rsidRPr="00F5658D">
        <w:rPr>
          <w:rFonts w:ascii="Arial" w:hAnsi="Arial" w:cs="Arial"/>
        </w:rPr>
        <w:t>Authority</w:t>
      </w:r>
      <w:r w:rsidRPr="00F5658D">
        <w:rPr>
          <w:rFonts w:ascii="Arial" w:hAnsi="Arial" w:cs="Arial"/>
        </w:rPr>
        <w:t xml:space="preserve"> being forced to borrow on unfavourable terms to meet its financial commitments. Limits on long-term investments are set by reference to the </w:t>
      </w:r>
      <w:r w:rsidR="008F4202" w:rsidRPr="00F5658D">
        <w:rPr>
          <w:rFonts w:ascii="Arial" w:hAnsi="Arial" w:cs="Arial"/>
        </w:rPr>
        <w:t>Authority</w:t>
      </w:r>
      <w:r w:rsidRPr="00F5658D">
        <w:rPr>
          <w:rFonts w:ascii="Arial" w:hAnsi="Arial" w:cs="Arial"/>
        </w:rPr>
        <w:t>’s medium term financial plan and cash flow forecast.</w:t>
      </w:r>
    </w:p>
    <w:p w:rsidR="00A955A8" w:rsidRPr="00F5658D" w:rsidRDefault="00A955A8" w:rsidP="009F23E2">
      <w:pPr>
        <w:jc w:val="both"/>
        <w:rPr>
          <w:rFonts w:ascii="Arial" w:hAnsi="Arial" w:cs="Arial"/>
          <w:b/>
          <w:bCs/>
          <w:u w:val="single"/>
        </w:rPr>
      </w:pPr>
    </w:p>
    <w:p w:rsidR="00291777" w:rsidRPr="00F5658D" w:rsidRDefault="00291777" w:rsidP="009F23E2">
      <w:pPr>
        <w:jc w:val="both"/>
        <w:rPr>
          <w:rFonts w:ascii="Arial" w:hAnsi="Arial" w:cs="Arial"/>
          <w:b/>
          <w:bCs/>
          <w:u w:val="single"/>
        </w:rPr>
      </w:pPr>
      <w:r w:rsidRPr="00F5658D">
        <w:rPr>
          <w:rFonts w:ascii="Arial" w:hAnsi="Arial" w:cs="Arial"/>
          <w:b/>
          <w:bCs/>
          <w:u w:val="single"/>
        </w:rPr>
        <w:t>Treasury Management Indicators</w:t>
      </w:r>
    </w:p>
    <w:p w:rsidR="00A25728" w:rsidRPr="00F5658D" w:rsidRDefault="00A25728" w:rsidP="009F23E2">
      <w:pPr>
        <w:jc w:val="both"/>
        <w:rPr>
          <w:rFonts w:ascii="Arial" w:hAnsi="Arial" w:cs="Arial"/>
          <w:bCs/>
        </w:rPr>
      </w:pPr>
      <w:r w:rsidRPr="00F5658D">
        <w:rPr>
          <w:rFonts w:ascii="Arial" w:hAnsi="Arial" w:cs="Arial"/>
          <w:bCs/>
        </w:rPr>
        <w:t xml:space="preserve">The </w:t>
      </w:r>
      <w:r w:rsidR="008F4202" w:rsidRPr="00F5658D">
        <w:rPr>
          <w:rFonts w:ascii="Arial" w:hAnsi="Arial" w:cs="Arial"/>
          <w:bCs/>
        </w:rPr>
        <w:t>Authority</w:t>
      </w:r>
      <w:r w:rsidRPr="00F5658D">
        <w:rPr>
          <w:rFonts w:ascii="Arial" w:hAnsi="Arial" w:cs="Arial"/>
          <w:bCs/>
        </w:rPr>
        <w:t xml:space="preserve"> measures and manages its exposures to treasury management risks using the following indicators.</w:t>
      </w:r>
    </w:p>
    <w:p w:rsidR="007125E4" w:rsidRPr="00F5658D" w:rsidRDefault="0041119E" w:rsidP="00317463">
      <w:pPr>
        <w:jc w:val="both"/>
        <w:rPr>
          <w:rFonts w:ascii="Arial" w:hAnsi="Arial" w:cs="Arial"/>
          <w:bCs/>
          <w:i/>
          <w:color w:val="AF173B"/>
        </w:rPr>
      </w:pPr>
      <w:r w:rsidRPr="00F5658D">
        <w:rPr>
          <w:rFonts w:ascii="Arial" w:hAnsi="Arial" w:cs="Arial"/>
          <w:b/>
          <w:bCs/>
        </w:rPr>
        <w:t xml:space="preserve">Security: </w:t>
      </w:r>
      <w:r w:rsidR="00A25728" w:rsidRPr="00F5658D">
        <w:rPr>
          <w:rFonts w:ascii="Arial" w:hAnsi="Arial" w:cs="Arial"/>
          <w:bCs/>
        </w:rPr>
        <w:t xml:space="preserve">The Authority has adopted a voluntary measure of its exposure to credit risk by monitoring </w:t>
      </w:r>
      <w:r w:rsidR="00A25728" w:rsidRPr="00317463">
        <w:rPr>
          <w:rFonts w:ascii="Arial" w:hAnsi="Arial" w:cs="Arial"/>
          <w:bCs/>
        </w:rPr>
        <w:t>the credit rating</w:t>
      </w:r>
      <w:r w:rsidR="00317463">
        <w:rPr>
          <w:rFonts w:ascii="Arial" w:hAnsi="Arial" w:cs="Arial"/>
          <w:bCs/>
          <w:color w:val="AF173B"/>
        </w:rPr>
        <w:t xml:space="preserve"> </w:t>
      </w:r>
      <w:r w:rsidR="00A25728" w:rsidRPr="00F5658D">
        <w:rPr>
          <w:rFonts w:ascii="Arial" w:hAnsi="Arial" w:cs="Arial"/>
          <w:bCs/>
        </w:rPr>
        <w:t>of its investment portfolio.</w:t>
      </w:r>
      <w:r w:rsidR="0097520C" w:rsidRPr="00F5658D">
        <w:rPr>
          <w:rFonts w:ascii="Arial" w:hAnsi="Arial" w:cs="Arial"/>
          <w:bCs/>
        </w:rPr>
        <w:t xml:space="preserve">  </w:t>
      </w:r>
    </w:p>
    <w:p w:rsidR="00A25728" w:rsidRPr="00F5658D" w:rsidRDefault="00A25728" w:rsidP="009F23E2">
      <w:pPr>
        <w:jc w:val="both"/>
        <w:rPr>
          <w:rFonts w:ascii="Arial" w:hAnsi="Arial" w:cs="Arial"/>
          <w:bCs/>
        </w:rPr>
      </w:pPr>
      <w:r w:rsidRPr="00F5658D">
        <w:rPr>
          <w:rFonts w:ascii="Arial" w:hAnsi="Arial" w:cs="Arial"/>
          <w:b/>
          <w:bCs/>
        </w:rPr>
        <w:t>Liquidity</w:t>
      </w:r>
      <w:r w:rsidR="0041119E" w:rsidRPr="00F5658D">
        <w:rPr>
          <w:rFonts w:ascii="Arial" w:hAnsi="Arial" w:cs="Arial"/>
          <w:b/>
          <w:bCs/>
        </w:rPr>
        <w:t xml:space="preserve">: </w:t>
      </w:r>
      <w:r w:rsidRPr="00F5658D">
        <w:rPr>
          <w:rFonts w:ascii="Arial" w:hAnsi="Arial" w:cs="Arial"/>
          <w:bCs/>
        </w:rPr>
        <w:t xml:space="preserve">The </w:t>
      </w:r>
      <w:r w:rsidR="008F4202" w:rsidRPr="00F5658D">
        <w:rPr>
          <w:rFonts w:ascii="Arial" w:hAnsi="Arial" w:cs="Arial"/>
          <w:bCs/>
        </w:rPr>
        <w:t>Authority</w:t>
      </w:r>
      <w:r w:rsidRPr="00F5658D">
        <w:rPr>
          <w:rFonts w:ascii="Arial" w:hAnsi="Arial" w:cs="Arial"/>
          <w:bCs/>
        </w:rPr>
        <w:t xml:space="preserve"> has adopted a voluntary measure of its exposure to liquidity risk by monitoring the amount of cash available to meet unexpected payments within a </w:t>
      </w:r>
      <w:r w:rsidRPr="00317463">
        <w:rPr>
          <w:rFonts w:ascii="Arial" w:hAnsi="Arial" w:cs="Arial"/>
          <w:bCs/>
        </w:rPr>
        <w:t xml:space="preserve">rolling </w:t>
      </w:r>
      <w:r w:rsidR="00317463" w:rsidRPr="00317463">
        <w:rPr>
          <w:rFonts w:ascii="Arial" w:hAnsi="Arial" w:cs="Arial"/>
          <w:bCs/>
        </w:rPr>
        <w:t>six</w:t>
      </w:r>
      <w:r w:rsidRPr="00F5658D">
        <w:rPr>
          <w:rFonts w:ascii="Arial" w:hAnsi="Arial" w:cs="Arial"/>
          <w:bCs/>
        </w:rPr>
        <w:t xml:space="preserve"> month period, without additional borrowing.</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773"/>
      </w:tblGrid>
      <w:tr w:rsidR="00A25728" w:rsidRPr="00F5658D" w:rsidTr="00C97489">
        <w:trPr>
          <w:trHeight w:val="340"/>
        </w:trPr>
        <w:tc>
          <w:tcPr>
            <w:tcW w:w="4621" w:type="dxa"/>
            <w:shd w:val="clear" w:color="auto" w:fill="auto"/>
            <w:vAlign w:val="center"/>
          </w:tcPr>
          <w:p w:rsidR="00A25728" w:rsidRPr="00F5658D" w:rsidRDefault="00A25728" w:rsidP="007C4FA7">
            <w:pPr>
              <w:spacing w:after="0"/>
              <w:jc w:val="center"/>
              <w:rPr>
                <w:rFonts w:ascii="Arial" w:eastAsia="Times New Roman" w:hAnsi="Arial" w:cs="Arial"/>
                <w:bCs/>
              </w:rPr>
            </w:pPr>
          </w:p>
        </w:tc>
        <w:tc>
          <w:tcPr>
            <w:tcW w:w="1773" w:type="dxa"/>
            <w:shd w:val="clear" w:color="auto" w:fill="auto"/>
            <w:vAlign w:val="center"/>
          </w:tcPr>
          <w:p w:rsidR="00A25728" w:rsidRPr="00F5658D" w:rsidRDefault="00A25728" w:rsidP="007C4FA7">
            <w:pPr>
              <w:spacing w:after="0"/>
              <w:jc w:val="center"/>
              <w:rPr>
                <w:rFonts w:ascii="Arial" w:eastAsia="Times New Roman" w:hAnsi="Arial" w:cs="Arial"/>
                <w:b/>
                <w:bCs/>
              </w:rPr>
            </w:pPr>
            <w:r w:rsidRPr="00F5658D">
              <w:rPr>
                <w:rFonts w:ascii="Arial" w:eastAsia="Times New Roman" w:hAnsi="Arial" w:cs="Arial"/>
                <w:b/>
                <w:bCs/>
              </w:rPr>
              <w:t>Target</w:t>
            </w:r>
          </w:p>
        </w:tc>
      </w:tr>
      <w:tr w:rsidR="00A25728" w:rsidRPr="00F5658D" w:rsidTr="00C97489">
        <w:trPr>
          <w:trHeight w:val="340"/>
        </w:trPr>
        <w:tc>
          <w:tcPr>
            <w:tcW w:w="4621" w:type="dxa"/>
            <w:shd w:val="clear" w:color="auto" w:fill="auto"/>
            <w:vAlign w:val="center"/>
          </w:tcPr>
          <w:p w:rsidR="00A25728" w:rsidRPr="00F5658D" w:rsidRDefault="00A25728" w:rsidP="00317463">
            <w:pPr>
              <w:spacing w:after="0"/>
              <w:rPr>
                <w:rFonts w:ascii="Arial" w:eastAsia="Times New Roman" w:hAnsi="Arial" w:cs="Arial"/>
                <w:bCs/>
              </w:rPr>
            </w:pPr>
            <w:r w:rsidRPr="00F5658D">
              <w:rPr>
                <w:rFonts w:ascii="Arial" w:eastAsia="Times New Roman" w:hAnsi="Arial" w:cs="Arial"/>
                <w:bCs/>
              </w:rPr>
              <w:t xml:space="preserve">Total cash available </w:t>
            </w:r>
            <w:r w:rsidRPr="00317463">
              <w:rPr>
                <w:rFonts w:ascii="Arial" w:eastAsia="Times New Roman" w:hAnsi="Arial" w:cs="Arial"/>
                <w:bCs/>
              </w:rPr>
              <w:t xml:space="preserve">within </w:t>
            </w:r>
            <w:r w:rsidR="00317463" w:rsidRPr="00317463">
              <w:rPr>
                <w:rFonts w:ascii="Arial" w:eastAsia="Times New Roman" w:hAnsi="Arial" w:cs="Arial"/>
                <w:bCs/>
              </w:rPr>
              <w:t>6</w:t>
            </w:r>
            <w:r w:rsidRPr="00F5658D">
              <w:rPr>
                <w:rFonts w:ascii="Arial" w:eastAsia="Times New Roman" w:hAnsi="Arial" w:cs="Arial"/>
                <w:bCs/>
              </w:rPr>
              <w:t xml:space="preserve"> months</w:t>
            </w:r>
          </w:p>
        </w:tc>
        <w:tc>
          <w:tcPr>
            <w:tcW w:w="1773" w:type="dxa"/>
            <w:shd w:val="clear" w:color="auto" w:fill="auto"/>
            <w:vAlign w:val="center"/>
          </w:tcPr>
          <w:p w:rsidR="00A25728" w:rsidRPr="00317463" w:rsidRDefault="00243E06" w:rsidP="007C4FA7">
            <w:pPr>
              <w:spacing w:after="0"/>
              <w:jc w:val="center"/>
              <w:rPr>
                <w:rFonts w:ascii="Arial" w:eastAsia="Times New Roman" w:hAnsi="Arial" w:cs="Arial"/>
                <w:bCs/>
              </w:rPr>
            </w:pPr>
            <w:r w:rsidRPr="00317463">
              <w:rPr>
                <w:rFonts w:ascii="Arial" w:hAnsi="Arial" w:cs="Arial"/>
              </w:rPr>
              <w:t>£</w:t>
            </w:r>
            <w:r w:rsidR="00317463" w:rsidRPr="00317463">
              <w:rPr>
                <w:rFonts w:ascii="Arial" w:hAnsi="Arial" w:cs="Arial"/>
              </w:rPr>
              <w:t>5</w:t>
            </w:r>
            <w:r w:rsidRPr="00317463">
              <w:rPr>
                <w:rFonts w:ascii="Arial" w:hAnsi="Arial" w:cs="Arial"/>
              </w:rPr>
              <w:t>m</w:t>
            </w:r>
          </w:p>
        </w:tc>
      </w:tr>
    </w:tbl>
    <w:p w:rsidR="00A25728" w:rsidRPr="00F5658D" w:rsidRDefault="00A25728" w:rsidP="009F23E2">
      <w:pPr>
        <w:jc w:val="both"/>
        <w:rPr>
          <w:rFonts w:ascii="Arial" w:hAnsi="Arial" w:cs="Arial"/>
          <w:b/>
          <w:bCs/>
          <w:u w:val="single"/>
        </w:rPr>
      </w:pPr>
    </w:p>
    <w:p w:rsidR="00A25728" w:rsidRPr="00777102" w:rsidRDefault="00A25728" w:rsidP="00A25728">
      <w:pPr>
        <w:jc w:val="both"/>
        <w:rPr>
          <w:rFonts w:ascii="Arial" w:hAnsi="Arial" w:cs="Arial"/>
          <w:bCs/>
        </w:rPr>
      </w:pPr>
      <w:r w:rsidRPr="00F5658D">
        <w:rPr>
          <w:rFonts w:ascii="Arial" w:hAnsi="Arial" w:cs="Arial"/>
          <w:b/>
          <w:bCs/>
        </w:rPr>
        <w:t>Interest Rate Exposures</w:t>
      </w:r>
      <w:r w:rsidRPr="00F5658D">
        <w:rPr>
          <w:rFonts w:ascii="Arial" w:hAnsi="Arial" w:cs="Arial"/>
          <w:bCs/>
        </w:rPr>
        <w:t xml:space="preserve">: This indicator is set to control the </w:t>
      </w:r>
      <w:r w:rsidR="008F4202" w:rsidRPr="00F5658D">
        <w:rPr>
          <w:rFonts w:ascii="Arial" w:hAnsi="Arial" w:cs="Arial"/>
          <w:bCs/>
        </w:rPr>
        <w:t>Authority</w:t>
      </w:r>
      <w:r w:rsidRPr="00F5658D">
        <w:rPr>
          <w:rFonts w:ascii="Arial" w:hAnsi="Arial" w:cs="Arial"/>
          <w:bCs/>
        </w:rPr>
        <w:t xml:space="preserve">’s exposure to interest rate risk.  The upper limits on fixed and variable rate interest rate exposures, expressed as </w:t>
      </w:r>
      <w:r w:rsidR="0041119E" w:rsidRPr="00777102">
        <w:rPr>
          <w:rFonts w:ascii="Arial" w:hAnsi="Arial" w:cs="Arial"/>
          <w:bCs/>
        </w:rPr>
        <w:t>[the</w:t>
      </w:r>
      <w:r w:rsidRPr="00777102">
        <w:rPr>
          <w:rFonts w:ascii="Arial" w:hAnsi="Arial" w:cs="Arial"/>
          <w:bCs/>
        </w:rPr>
        <w:t xml:space="preserve"> amount</w:t>
      </w:r>
      <w:r w:rsidR="00C260DA" w:rsidRPr="00777102">
        <w:rPr>
          <w:rFonts w:ascii="Arial" w:hAnsi="Arial" w:cs="Arial"/>
          <w:bCs/>
        </w:rPr>
        <w:t xml:space="preserve"> / </w:t>
      </w:r>
      <w:r w:rsidR="00777102">
        <w:rPr>
          <w:rFonts w:ascii="Arial" w:hAnsi="Arial" w:cs="Arial"/>
          <w:bCs/>
        </w:rPr>
        <w:t>the proportion]</w:t>
      </w:r>
      <w:r w:rsidRPr="00777102">
        <w:rPr>
          <w:rFonts w:ascii="Arial" w:hAnsi="Arial" w:cs="Arial"/>
          <w:bCs/>
        </w:rPr>
        <w:t xml:space="preserve"> of net </w:t>
      </w:r>
      <w:r w:rsidR="0041119E" w:rsidRPr="00777102">
        <w:rPr>
          <w:rFonts w:ascii="Arial" w:hAnsi="Arial" w:cs="Arial"/>
          <w:bCs/>
        </w:rPr>
        <w:t>[</w:t>
      </w:r>
      <w:r w:rsidRPr="00777102">
        <w:rPr>
          <w:rFonts w:ascii="Arial" w:hAnsi="Arial" w:cs="Arial"/>
          <w:bCs/>
        </w:rPr>
        <w:t>principal borrowed</w:t>
      </w:r>
      <w:r w:rsidR="00C260DA" w:rsidRPr="00777102">
        <w:rPr>
          <w:rFonts w:ascii="Arial" w:hAnsi="Arial" w:cs="Arial"/>
          <w:bCs/>
        </w:rPr>
        <w:t xml:space="preserve"> / </w:t>
      </w:r>
      <w:r w:rsidR="0041119E" w:rsidRPr="00777102">
        <w:rPr>
          <w:rFonts w:ascii="Arial" w:hAnsi="Arial" w:cs="Arial"/>
          <w:bCs/>
        </w:rPr>
        <w:t>interest payable]</w:t>
      </w:r>
      <w:r w:rsidRPr="00777102">
        <w:rPr>
          <w:rFonts w:ascii="Arial" w:hAnsi="Arial" w:cs="Arial"/>
          <w:bCs/>
        </w:rPr>
        <w:t xml:space="preserve"> will be:</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157"/>
        <w:gridCol w:w="1157"/>
        <w:gridCol w:w="1157"/>
      </w:tblGrid>
      <w:tr w:rsidR="00A0283A" w:rsidRPr="00F5658D" w:rsidTr="007C4FA7">
        <w:trPr>
          <w:trHeight w:val="340"/>
        </w:trPr>
        <w:tc>
          <w:tcPr>
            <w:tcW w:w="4621" w:type="dxa"/>
            <w:shd w:val="clear" w:color="auto" w:fill="auto"/>
            <w:vAlign w:val="center"/>
          </w:tcPr>
          <w:p w:rsidR="00A0283A" w:rsidRPr="00F5658D" w:rsidRDefault="00A0283A" w:rsidP="007C4FA7">
            <w:pPr>
              <w:spacing w:after="0"/>
              <w:jc w:val="center"/>
              <w:rPr>
                <w:rFonts w:ascii="Arial" w:eastAsia="Times New Roman" w:hAnsi="Arial" w:cs="Arial"/>
                <w:bCs/>
              </w:rPr>
            </w:pPr>
          </w:p>
        </w:tc>
        <w:tc>
          <w:tcPr>
            <w:tcW w:w="1157" w:type="dxa"/>
            <w:shd w:val="clear" w:color="auto" w:fill="auto"/>
            <w:vAlign w:val="center"/>
          </w:tcPr>
          <w:p w:rsidR="00A0283A" w:rsidRPr="00F5658D" w:rsidRDefault="00A0283A" w:rsidP="00915168">
            <w:pPr>
              <w:spacing w:after="0"/>
              <w:jc w:val="center"/>
              <w:rPr>
                <w:rFonts w:ascii="Arial" w:eastAsia="Times New Roman" w:hAnsi="Arial" w:cs="Arial"/>
                <w:b/>
                <w:bCs/>
              </w:rPr>
            </w:pPr>
            <w:r w:rsidRPr="00F5658D">
              <w:rPr>
                <w:rFonts w:ascii="Arial" w:eastAsia="Times New Roman" w:hAnsi="Arial" w:cs="Arial"/>
                <w:b/>
                <w:bCs/>
              </w:rPr>
              <w:t>2016/17</w:t>
            </w:r>
          </w:p>
        </w:tc>
        <w:tc>
          <w:tcPr>
            <w:tcW w:w="1157" w:type="dxa"/>
            <w:shd w:val="clear" w:color="auto" w:fill="auto"/>
            <w:vAlign w:val="center"/>
          </w:tcPr>
          <w:p w:rsidR="00A0283A" w:rsidRPr="00F5658D" w:rsidRDefault="00A0283A" w:rsidP="00915168">
            <w:pPr>
              <w:spacing w:after="0"/>
              <w:jc w:val="center"/>
              <w:rPr>
                <w:rFonts w:ascii="Arial" w:eastAsia="Times New Roman" w:hAnsi="Arial" w:cs="Arial"/>
                <w:b/>
                <w:bCs/>
              </w:rPr>
            </w:pPr>
            <w:r w:rsidRPr="00F5658D">
              <w:rPr>
                <w:rFonts w:ascii="Arial" w:eastAsia="Times New Roman" w:hAnsi="Arial" w:cs="Arial"/>
                <w:b/>
                <w:bCs/>
              </w:rPr>
              <w:t>2017/18</w:t>
            </w:r>
          </w:p>
        </w:tc>
        <w:tc>
          <w:tcPr>
            <w:tcW w:w="1157" w:type="dxa"/>
            <w:shd w:val="clear" w:color="auto" w:fill="auto"/>
            <w:vAlign w:val="center"/>
          </w:tcPr>
          <w:p w:rsidR="00A0283A" w:rsidRPr="00F5658D" w:rsidRDefault="00A0283A" w:rsidP="00A0283A">
            <w:pPr>
              <w:spacing w:after="0"/>
              <w:jc w:val="center"/>
              <w:rPr>
                <w:rFonts w:ascii="Arial" w:eastAsia="Times New Roman" w:hAnsi="Arial" w:cs="Arial"/>
                <w:b/>
                <w:bCs/>
              </w:rPr>
            </w:pPr>
            <w:r w:rsidRPr="00F5658D">
              <w:rPr>
                <w:rFonts w:ascii="Arial" w:eastAsia="Times New Roman" w:hAnsi="Arial" w:cs="Arial"/>
                <w:b/>
                <w:bCs/>
              </w:rPr>
              <w:t>2018/19</w:t>
            </w:r>
          </w:p>
        </w:tc>
      </w:tr>
      <w:tr w:rsidR="00C97489" w:rsidRPr="00F5658D" w:rsidTr="00C97489">
        <w:trPr>
          <w:trHeight w:val="340"/>
        </w:trPr>
        <w:tc>
          <w:tcPr>
            <w:tcW w:w="4621" w:type="dxa"/>
            <w:shd w:val="clear" w:color="auto" w:fill="auto"/>
            <w:vAlign w:val="center"/>
          </w:tcPr>
          <w:p w:rsidR="00C97489" w:rsidRPr="00F5658D" w:rsidRDefault="00C97489" w:rsidP="007C4FA7">
            <w:pPr>
              <w:spacing w:after="0"/>
              <w:rPr>
                <w:rFonts w:ascii="Arial" w:eastAsia="Times New Roman" w:hAnsi="Arial" w:cs="Arial"/>
                <w:bCs/>
              </w:rPr>
            </w:pPr>
            <w:r w:rsidRPr="00F5658D">
              <w:rPr>
                <w:rFonts w:ascii="Arial" w:eastAsia="Times New Roman" w:hAnsi="Arial" w:cs="Arial"/>
                <w:bCs/>
              </w:rPr>
              <w:t>Upper limit on fixed interest rate exposure</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3.0%</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3.5%</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4.0%</w:t>
            </w:r>
          </w:p>
        </w:tc>
      </w:tr>
      <w:tr w:rsidR="00C97489" w:rsidRPr="00F5658D" w:rsidTr="00C97489">
        <w:trPr>
          <w:trHeight w:val="340"/>
        </w:trPr>
        <w:tc>
          <w:tcPr>
            <w:tcW w:w="4621" w:type="dxa"/>
            <w:shd w:val="clear" w:color="auto" w:fill="auto"/>
            <w:vAlign w:val="center"/>
          </w:tcPr>
          <w:p w:rsidR="00C97489" w:rsidRPr="00F5658D" w:rsidRDefault="00C97489" w:rsidP="007C4FA7">
            <w:pPr>
              <w:spacing w:after="0"/>
              <w:rPr>
                <w:rFonts w:ascii="Arial" w:eastAsia="Times New Roman" w:hAnsi="Arial" w:cs="Arial"/>
                <w:bCs/>
              </w:rPr>
            </w:pPr>
            <w:r w:rsidRPr="00F5658D">
              <w:rPr>
                <w:rFonts w:ascii="Arial" w:eastAsia="Times New Roman" w:hAnsi="Arial" w:cs="Arial"/>
                <w:bCs/>
              </w:rPr>
              <w:t>Upper limit on variable interest rate exposure</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n/a</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n/a</w:t>
            </w:r>
          </w:p>
        </w:tc>
        <w:tc>
          <w:tcPr>
            <w:tcW w:w="1157" w:type="dxa"/>
            <w:shd w:val="clear" w:color="auto" w:fill="auto"/>
            <w:vAlign w:val="center"/>
          </w:tcPr>
          <w:p w:rsidR="00C97489" w:rsidRPr="00777102" w:rsidRDefault="00777102" w:rsidP="00C97489">
            <w:pPr>
              <w:spacing w:after="0"/>
              <w:jc w:val="center"/>
              <w:rPr>
                <w:rFonts w:ascii="Arial" w:hAnsi="Arial" w:cs="Arial"/>
              </w:rPr>
            </w:pPr>
            <w:r w:rsidRPr="00777102">
              <w:rPr>
                <w:rFonts w:ascii="Arial" w:hAnsi="Arial" w:cs="Arial"/>
              </w:rPr>
              <w:t>n/a</w:t>
            </w:r>
          </w:p>
        </w:tc>
      </w:tr>
    </w:tbl>
    <w:p w:rsidR="00777102" w:rsidRDefault="00777102" w:rsidP="009F23E2">
      <w:pPr>
        <w:jc w:val="both"/>
        <w:rPr>
          <w:rFonts w:ascii="Arial" w:hAnsi="Arial" w:cs="Arial"/>
          <w:bCs/>
        </w:rPr>
      </w:pPr>
    </w:p>
    <w:p w:rsidR="0041119E" w:rsidRPr="00F5658D" w:rsidRDefault="0041119E" w:rsidP="009F23E2">
      <w:pPr>
        <w:jc w:val="both"/>
        <w:rPr>
          <w:rFonts w:ascii="Arial" w:hAnsi="Arial" w:cs="Arial"/>
          <w:bCs/>
          <w:i/>
          <w:color w:val="AF173B"/>
        </w:rPr>
      </w:pPr>
      <w:r w:rsidRPr="00F5658D">
        <w:rPr>
          <w:rFonts w:ascii="Arial" w:hAnsi="Arial" w:cs="Arial"/>
          <w:bCs/>
        </w:rPr>
        <w:t xml:space="preserve">Fixed rate investments and borrowings are those where the rate of interest is fixed </w:t>
      </w:r>
      <w:r w:rsidRPr="00777102">
        <w:rPr>
          <w:rFonts w:ascii="Arial" w:hAnsi="Arial" w:cs="Arial"/>
          <w:bCs/>
        </w:rPr>
        <w:t xml:space="preserve">for </w:t>
      </w:r>
      <w:r w:rsidR="00E9074D" w:rsidRPr="00777102">
        <w:rPr>
          <w:rFonts w:ascii="Arial" w:hAnsi="Arial" w:cs="Arial"/>
          <w:bCs/>
        </w:rPr>
        <w:t>at least 12 months</w:t>
      </w:r>
      <w:r w:rsidR="00777102" w:rsidRPr="00777102">
        <w:rPr>
          <w:rFonts w:ascii="Arial" w:hAnsi="Arial" w:cs="Arial"/>
          <w:bCs/>
        </w:rPr>
        <w:t xml:space="preserve"> in the case of investments and for the life of the loan in case of borrowings</w:t>
      </w:r>
      <w:r w:rsidR="00E9074D" w:rsidRPr="00777102">
        <w:rPr>
          <w:rFonts w:ascii="Arial" w:hAnsi="Arial" w:cs="Arial"/>
          <w:bCs/>
        </w:rPr>
        <w:t xml:space="preserve">, measured from the start of </w:t>
      </w:r>
      <w:r w:rsidRPr="00777102">
        <w:rPr>
          <w:rFonts w:ascii="Arial" w:hAnsi="Arial" w:cs="Arial"/>
          <w:bCs/>
        </w:rPr>
        <w:t>the financial year</w:t>
      </w:r>
      <w:r w:rsidR="00E9074D" w:rsidRPr="00777102">
        <w:rPr>
          <w:rFonts w:ascii="Arial" w:hAnsi="Arial" w:cs="Arial"/>
          <w:bCs/>
        </w:rPr>
        <w:t xml:space="preserve"> or the transaction date if later</w:t>
      </w:r>
      <w:r w:rsidRPr="00777102">
        <w:rPr>
          <w:rFonts w:ascii="Arial" w:hAnsi="Arial" w:cs="Arial"/>
          <w:bCs/>
        </w:rPr>
        <w:t>.</w:t>
      </w:r>
      <w:r w:rsidRPr="00F5658D">
        <w:rPr>
          <w:rFonts w:ascii="Arial" w:hAnsi="Arial" w:cs="Arial"/>
          <w:bCs/>
        </w:rPr>
        <w:t xml:space="preserve">  </w:t>
      </w:r>
    </w:p>
    <w:p w:rsidR="004B716C" w:rsidRDefault="004B716C" w:rsidP="0041119E">
      <w:pPr>
        <w:jc w:val="both"/>
        <w:rPr>
          <w:rFonts w:ascii="Arial" w:hAnsi="Arial" w:cs="Arial"/>
          <w:b/>
          <w:bCs/>
        </w:rPr>
      </w:pPr>
    </w:p>
    <w:p w:rsidR="0041119E" w:rsidRPr="00F5658D" w:rsidRDefault="0041119E" w:rsidP="0041119E">
      <w:pPr>
        <w:jc w:val="both"/>
        <w:rPr>
          <w:rFonts w:ascii="Arial" w:hAnsi="Arial" w:cs="Arial"/>
          <w:bCs/>
        </w:rPr>
      </w:pPr>
      <w:r w:rsidRPr="00F5658D">
        <w:rPr>
          <w:rFonts w:ascii="Arial" w:hAnsi="Arial" w:cs="Arial"/>
          <w:b/>
          <w:bCs/>
        </w:rPr>
        <w:lastRenderedPageBreak/>
        <w:t>Maturity Structure of Borrowing:</w:t>
      </w:r>
      <w:r w:rsidRPr="00F5658D">
        <w:rPr>
          <w:rFonts w:ascii="Arial" w:hAnsi="Arial" w:cs="Arial"/>
          <w:bCs/>
        </w:rPr>
        <w:t xml:space="preserve"> This indicator is set to control the </w:t>
      </w:r>
      <w:r w:rsidR="008F4202" w:rsidRPr="00F5658D">
        <w:rPr>
          <w:rFonts w:ascii="Arial" w:hAnsi="Arial" w:cs="Arial"/>
          <w:bCs/>
        </w:rPr>
        <w:t>Authority</w:t>
      </w:r>
      <w:r w:rsidRPr="00F5658D">
        <w:rPr>
          <w:rFonts w:ascii="Arial" w:hAnsi="Arial" w:cs="Arial"/>
          <w:bCs/>
        </w:rPr>
        <w:t>’s exposure to refinancing risk. The upper and lower limits on the maturity structure of fixed rate borrowing will be:</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157"/>
        <w:gridCol w:w="1157"/>
      </w:tblGrid>
      <w:tr w:rsidR="0041119E" w:rsidRPr="00F5658D" w:rsidTr="007C4FA7">
        <w:trPr>
          <w:trHeight w:val="340"/>
        </w:trPr>
        <w:tc>
          <w:tcPr>
            <w:tcW w:w="4621" w:type="dxa"/>
            <w:shd w:val="clear" w:color="auto" w:fill="auto"/>
            <w:vAlign w:val="center"/>
          </w:tcPr>
          <w:p w:rsidR="0041119E" w:rsidRPr="00F5658D" w:rsidRDefault="0041119E" w:rsidP="007C4FA7">
            <w:pPr>
              <w:spacing w:after="0"/>
              <w:jc w:val="center"/>
              <w:rPr>
                <w:rFonts w:ascii="Arial" w:eastAsia="Times New Roman" w:hAnsi="Arial" w:cs="Arial"/>
                <w:bCs/>
              </w:rPr>
            </w:pPr>
          </w:p>
        </w:tc>
        <w:tc>
          <w:tcPr>
            <w:tcW w:w="1157" w:type="dxa"/>
            <w:shd w:val="clear" w:color="auto" w:fill="auto"/>
            <w:vAlign w:val="center"/>
          </w:tcPr>
          <w:p w:rsidR="0041119E" w:rsidRPr="00F5658D" w:rsidRDefault="0041119E" w:rsidP="007C4FA7">
            <w:pPr>
              <w:spacing w:after="0"/>
              <w:jc w:val="center"/>
              <w:rPr>
                <w:rFonts w:ascii="Arial" w:eastAsia="Times New Roman" w:hAnsi="Arial" w:cs="Arial"/>
                <w:b/>
                <w:bCs/>
              </w:rPr>
            </w:pPr>
            <w:r w:rsidRPr="00F5658D">
              <w:rPr>
                <w:rFonts w:ascii="Arial" w:eastAsia="Times New Roman" w:hAnsi="Arial" w:cs="Arial"/>
                <w:b/>
                <w:bCs/>
              </w:rPr>
              <w:t>Upper</w:t>
            </w:r>
          </w:p>
        </w:tc>
        <w:tc>
          <w:tcPr>
            <w:tcW w:w="1157" w:type="dxa"/>
            <w:shd w:val="clear" w:color="auto" w:fill="auto"/>
            <w:vAlign w:val="center"/>
          </w:tcPr>
          <w:p w:rsidR="0041119E" w:rsidRPr="00F5658D" w:rsidRDefault="0041119E" w:rsidP="007C4FA7">
            <w:pPr>
              <w:spacing w:after="0"/>
              <w:jc w:val="center"/>
              <w:rPr>
                <w:rFonts w:ascii="Arial" w:eastAsia="Times New Roman" w:hAnsi="Arial" w:cs="Arial"/>
                <w:b/>
                <w:bCs/>
              </w:rPr>
            </w:pPr>
            <w:r w:rsidRPr="00F5658D">
              <w:rPr>
                <w:rFonts w:ascii="Arial" w:eastAsia="Times New Roman" w:hAnsi="Arial" w:cs="Arial"/>
                <w:b/>
                <w:bCs/>
              </w:rPr>
              <w:t>Lower</w:t>
            </w:r>
          </w:p>
        </w:tc>
      </w:tr>
      <w:tr w:rsidR="00243E06" w:rsidRPr="00F5658D" w:rsidTr="00243E06">
        <w:trPr>
          <w:trHeight w:val="340"/>
        </w:trPr>
        <w:tc>
          <w:tcPr>
            <w:tcW w:w="4621" w:type="dxa"/>
            <w:shd w:val="clear" w:color="auto" w:fill="auto"/>
            <w:vAlign w:val="center"/>
          </w:tcPr>
          <w:p w:rsidR="00243E06" w:rsidRPr="00F5658D" w:rsidRDefault="00243E06" w:rsidP="007C4FA7">
            <w:pPr>
              <w:spacing w:after="0"/>
              <w:rPr>
                <w:rFonts w:ascii="Arial" w:eastAsia="Times New Roman" w:hAnsi="Arial" w:cs="Arial"/>
                <w:bCs/>
              </w:rPr>
            </w:pPr>
            <w:r w:rsidRPr="00F5658D">
              <w:rPr>
                <w:rFonts w:ascii="Arial" w:eastAsia="Times New Roman" w:hAnsi="Arial" w:cs="Arial"/>
                <w:bCs/>
              </w:rPr>
              <w:t>Under 12 months</w:t>
            </w:r>
          </w:p>
        </w:tc>
        <w:tc>
          <w:tcPr>
            <w:tcW w:w="1157" w:type="dxa"/>
            <w:shd w:val="clear" w:color="auto" w:fill="auto"/>
            <w:vAlign w:val="center"/>
          </w:tcPr>
          <w:p w:rsidR="00243E06" w:rsidRPr="002364D3" w:rsidRDefault="002364D3" w:rsidP="00243E06">
            <w:pPr>
              <w:spacing w:after="0"/>
              <w:jc w:val="center"/>
              <w:rPr>
                <w:rFonts w:ascii="Arial" w:hAnsi="Arial" w:cs="Arial"/>
              </w:rPr>
            </w:pPr>
            <w:r w:rsidRPr="002364D3">
              <w:rPr>
                <w:rFonts w:ascii="Arial" w:hAnsi="Arial" w:cs="Arial"/>
              </w:rPr>
              <w:t>8.1%</w:t>
            </w:r>
          </w:p>
        </w:tc>
        <w:tc>
          <w:tcPr>
            <w:tcW w:w="1157" w:type="dxa"/>
            <w:shd w:val="clear" w:color="auto" w:fill="auto"/>
            <w:vAlign w:val="center"/>
          </w:tcPr>
          <w:p w:rsidR="00243E06" w:rsidRPr="00F5658D" w:rsidRDefault="002364D3" w:rsidP="00243E06">
            <w:pPr>
              <w:spacing w:after="0"/>
              <w:jc w:val="center"/>
              <w:rPr>
                <w:rFonts w:ascii="Arial" w:hAnsi="Arial" w:cs="Arial"/>
              </w:rPr>
            </w:pPr>
            <w:r w:rsidRPr="002364D3">
              <w:rPr>
                <w:rFonts w:ascii="Arial" w:hAnsi="Arial" w:cs="Arial"/>
              </w:rPr>
              <w:t>8.1%</w:t>
            </w:r>
          </w:p>
        </w:tc>
      </w:tr>
      <w:tr w:rsidR="002364D3" w:rsidRPr="00F5658D" w:rsidTr="00243E06">
        <w:trPr>
          <w:trHeight w:val="340"/>
        </w:trPr>
        <w:tc>
          <w:tcPr>
            <w:tcW w:w="4621" w:type="dxa"/>
            <w:shd w:val="clear" w:color="auto" w:fill="auto"/>
            <w:vAlign w:val="center"/>
          </w:tcPr>
          <w:p w:rsidR="002364D3" w:rsidRPr="00F5658D" w:rsidRDefault="002364D3" w:rsidP="007C4FA7">
            <w:pPr>
              <w:spacing w:after="0"/>
              <w:rPr>
                <w:rFonts w:ascii="Arial" w:eastAsia="Times New Roman" w:hAnsi="Arial" w:cs="Arial"/>
                <w:bCs/>
              </w:rPr>
            </w:pPr>
            <w:r w:rsidRPr="00F5658D">
              <w:rPr>
                <w:rFonts w:ascii="Arial" w:eastAsia="Times New Roman" w:hAnsi="Arial" w:cs="Arial"/>
                <w:bCs/>
              </w:rPr>
              <w:t>12 months and within 24 months</w:t>
            </w:r>
          </w:p>
        </w:tc>
        <w:tc>
          <w:tcPr>
            <w:tcW w:w="1157" w:type="dxa"/>
            <w:shd w:val="clear" w:color="auto" w:fill="auto"/>
            <w:vAlign w:val="center"/>
          </w:tcPr>
          <w:p w:rsidR="002364D3" w:rsidRPr="002364D3" w:rsidRDefault="002364D3" w:rsidP="00243E06">
            <w:pPr>
              <w:spacing w:after="0"/>
              <w:jc w:val="center"/>
              <w:rPr>
                <w:rFonts w:ascii="Arial" w:hAnsi="Arial" w:cs="Arial"/>
              </w:rPr>
            </w:pPr>
            <w:r w:rsidRPr="002364D3">
              <w:rPr>
                <w:rFonts w:ascii="Arial" w:hAnsi="Arial" w:cs="Arial"/>
              </w:rPr>
              <w:t>8.1%</w:t>
            </w:r>
          </w:p>
        </w:tc>
        <w:tc>
          <w:tcPr>
            <w:tcW w:w="1157" w:type="dxa"/>
            <w:shd w:val="clear" w:color="auto" w:fill="auto"/>
            <w:vAlign w:val="center"/>
          </w:tcPr>
          <w:p w:rsidR="002364D3" w:rsidRPr="002364D3" w:rsidRDefault="002364D3" w:rsidP="00FE6610">
            <w:pPr>
              <w:spacing w:after="0"/>
              <w:jc w:val="center"/>
              <w:rPr>
                <w:rFonts w:ascii="Arial" w:hAnsi="Arial" w:cs="Arial"/>
              </w:rPr>
            </w:pPr>
            <w:r w:rsidRPr="002364D3">
              <w:rPr>
                <w:rFonts w:ascii="Arial" w:hAnsi="Arial" w:cs="Arial"/>
              </w:rPr>
              <w:t>8.1%</w:t>
            </w:r>
          </w:p>
        </w:tc>
      </w:tr>
      <w:tr w:rsidR="002364D3" w:rsidRPr="00F5658D" w:rsidTr="00243E06">
        <w:trPr>
          <w:trHeight w:val="340"/>
        </w:trPr>
        <w:tc>
          <w:tcPr>
            <w:tcW w:w="4621" w:type="dxa"/>
            <w:shd w:val="clear" w:color="auto" w:fill="auto"/>
            <w:vAlign w:val="center"/>
          </w:tcPr>
          <w:p w:rsidR="002364D3" w:rsidRPr="00F5658D" w:rsidRDefault="002364D3" w:rsidP="007C4FA7">
            <w:pPr>
              <w:spacing w:after="0"/>
              <w:rPr>
                <w:rFonts w:ascii="Arial" w:eastAsia="Times New Roman" w:hAnsi="Arial" w:cs="Arial"/>
                <w:bCs/>
              </w:rPr>
            </w:pPr>
            <w:r w:rsidRPr="00F5658D">
              <w:rPr>
                <w:rFonts w:ascii="Arial" w:eastAsia="Times New Roman" w:hAnsi="Arial" w:cs="Arial"/>
                <w:bCs/>
              </w:rPr>
              <w:t>24 months and within 5 years</w:t>
            </w:r>
          </w:p>
        </w:tc>
        <w:tc>
          <w:tcPr>
            <w:tcW w:w="1157" w:type="dxa"/>
            <w:shd w:val="clear" w:color="auto" w:fill="auto"/>
            <w:vAlign w:val="center"/>
          </w:tcPr>
          <w:p w:rsidR="002364D3" w:rsidRPr="002364D3" w:rsidRDefault="002364D3" w:rsidP="00243E06">
            <w:pPr>
              <w:spacing w:after="0"/>
              <w:jc w:val="center"/>
              <w:rPr>
                <w:rFonts w:ascii="Arial" w:hAnsi="Arial" w:cs="Arial"/>
              </w:rPr>
            </w:pPr>
            <w:r w:rsidRPr="002364D3">
              <w:rPr>
                <w:rFonts w:ascii="Arial" w:hAnsi="Arial" w:cs="Arial"/>
              </w:rPr>
              <w:t>20.9%</w:t>
            </w:r>
          </w:p>
        </w:tc>
        <w:tc>
          <w:tcPr>
            <w:tcW w:w="1157" w:type="dxa"/>
            <w:shd w:val="clear" w:color="auto" w:fill="auto"/>
            <w:vAlign w:val="center"/>
          </w:tcPr>
          <w:p w:rsidR="002364D3" w:rsidRPr="002364D3" w:rsidRDefault="002364D3" w:rsidP="00FE6610">
            <w:pPr>
              <w:spacing w:after="0"/>
              <w:jc w:val="center"/>
              <w:rPr>
                <w:rFonts w:ascii="Arial" w:hAnsi="Arial" w:cs="Arial"/>
              </w:rPr>
            </w:pPr>
            <w:r w:rsidRPr="002364D3">
              <w:rPr>
                <w:rFonts w:ascii="Arial" w:hAnsi="Arial" w:cs="Arial"/>
              </w:rPr>
              <w:t>20.9%</w:t>
            </w:r>
          </w:p>
        </w:tc>
      </w:tr>
      <w:tr w:rsidR="002364D3" w:rsidRPr="00F5658D" w:rsidTr="00243E06">
        <w:trPr>
          <w:trHeight w:val="340"/>
        </w:trPr>
        <w:tc>
          <w:tcPr>
            <w:tcW w:w="4621" w:type="dxa"/>
            <w:shd w:val="clear" w:color="auto" w:fill="auto"/>
            <w:vAlign w:val="center"/>
          </w:tcPr>
          <w:p w:rsidR="002364D3" w:rsidRPr="00F5658D" w:rsidRDefault="002364D3" w:rsidP="007C4FA7">
            <w:pPr>
              <w:spacing w:after="0"/>
              <w:rPr>
                <w:rFonts w:ascii="Arial" w:eastAsia="Times New Roman" w:hAnsi="Arial" w:cs="Arial"/>
                <w:bCs/>
              </w:rPr>
            </w:pPr>
            <w:r w:rsidRPr="00F5658D">
              <w:rPr>
                <w:rFonts w:ascii="Arial" w:eastAsia="Times New Roman" w:hAnsi="Arial" w:cs="Arial"/>
                <w:bCs/>
              </w:rPr>
              <w:t>5 years and within 10 years</w:t>
            </w:r>
          </w:p>
        </w:tc>
        <w:tc>
          <w:tcPr>
            <w:tcW w:w="1157" w:type="dxa"/>
            <w:shd w:val="clear" w:color="auto" w:fill="auto"/>
            <w:vAlign w:val="center"/>
          </w:tcPr>
          <w:p w:rsidR="002364D3" w:rsidRPr="002364D3" w:rsidRDefault="002364D3" w:rsidP="00243E06">
            <w:pPr>
              <w:spacing w:after="0"/>
              <w:jc w:val="center"/>
              <w:rPr>
                <w:rFonts w:ascii="Arial" w:hAnsi="Arial" w:cs="Arial"/>
              </w:rPr>
            </w:pPr>
            <w:r w:rsidRPr="002364D3">
              <w:rPr>
                <w:rFonts w:ascii="Arial" w:hAnsi="Arial" w:cs="Arial"/>
              </w:rPr>
              <w:t>26.5%</w:t>
            </w:r>
          </w:p>
        </w:tc>
        <w:tc>
          <w:tcPr>
            <w:tcW w:w="1157" w:type="dxa"/>
            <w:shd w:val="clear" w:color="auto" w:fill="auto"/>
            <w:vAlign w:val="center"/>
          </w:tcPr>
          <w:p w:rsidR="002364D3" w:rsidRPr="002364D3" w:rsidRDefault="002364D3" w:rsidP="00FE6610">
            <w:pPr>
              <w:spacing w:after="0"/>
              <w:jc w:val="center"/>
              <w:rPr>
                <w:rFonts w:ascii="Arial" w:hAnsi="Arial" w:cs="Arial"/>
              </w:rPr>
            </w:pPr>
            <w:r w:rsidRPr="002364D3">
              <w:rPr>
                <w:rFonts w:ascii="Arial" w:hAnsi="Arial" w:cs="Arial"/>
              </w:rPr>
              <w:t>26.5%</w:t>
            </w:r>
          </w:p>
        </w:tc>
      </w:tr>
      <w:tr w:rsidR="002364D3" w:rsidRPr="00F5658D" w:rsidTr="00243E06">
        <w:trPr>
          <w:trHeight w:val="340"/>
        </w:trPr>
        <w:tc>
          <w:tcPr>
            <w:tcW w:w="4621" w:type="dxa"/>
            <w:shd w:val="clear" w:color="auto" w:fill="auto"/>
            <w:vAlign w:val="center"/>
          </w:tcPr>
          <w:p w:rsidR="004B716C" w:rsidRDefault="004B716C" w:rsidP="007C4FA7">
            <w:pPr>
              <w:spacing w:after="0"/>
              <w:rPr>
                <w:rFonts w:ascii="Arial" w:eastAsia="Times New Roman" w:hAnsi="Arial" w:cs="Arial"/>
                <w:bCs/>
              </w:rPr>
            </w:pPr>
          </w:p>
          <w:p w:rsidR="002364D3" w:rsidRPr="00F5658D" w:rsidRDefault="002364D3" w:rsidP="007C4FA7">
            <w:pPr>
              <w:spacing w:after="0"/>
              <w:rPr>
                <w:rFonts w:ascii="Arial" w:eastAsia="Times New Roman" w:hAnsi="Arial" w:cs="Arial"/>
                <w:bCs/>
              </w:rPr>
            </w:pPr>
            <w:r w:rsidRPr="00F5658D">
              <w:rPr>
                <w:rFonts w:ascii="Arial" w:eastAsia="Times New Roman" w:hAnsi="Arial" w:cs="Arial"/>
                <w:bCs/>
              </w:rPr>
              <w:t>10 years and above</w:t>
            </w:r>
          </w:p>
          <w:p w:rsidR="002364D3" w:rsidRPr="00F5658D" w:rsidRDefault="002364D3" w:rsidP="007C4FA7">
            <w:pPr>
              <w:spacing w:after="0"/>
              <w:rPr>
                <w:rFonts w:ascii="Arial" w:eastAsia="Times New Roman" w:hAnsi="Arial" w:cs="Arial"/>
                <w:bCs/>
                <w:i/>
                <w:color w:val="AF173B"/>
              </w:rPr>
            </w:pPr>
          </w:p>
        </w:tc>
        <w:tc>
          <w:tcPr>
            <w:tcW w:w="1157" w:type="dxa"/>
            <w:shd w:val="clear" w:color="auto" w:fill="auto"/>
            <w:vAlign w:val="center"/>
          </w:tcPr>
          <w:p w:rsidR="002364D3" w:rsidRPr="002364D3" w:rsidRDefault="002364D3" w:rsidP="004B716C">
            <w:pPr>
              <w:spacing w:after="0"/>
              <w:rPr>
                <w:rFonts w:ascii="Arial" w:hAnsi="Arial" w:cs="Arial"/>
              </w:rPr>
            </w:pPr>
            <w:r w:rsidRPr="002364D3">
              <w:rPr>
                <w:rFonts w:ascii="Arial" w:hAnsi="Arial" w:cs="Arial"/>
              </w:rPr>
              <w:t>36.3%</w:t>
            </w:r>
          </w:p>
        </w:tc>
        <w:tc>
          <w:tcPr>
            <w:tcW w:w="1157" w:type="dxa"/>
            <w:shd w:val="clear" w:color="auto" w:fill="auto"/>
            <w:vAlign w:val="center"/>
          </w:tcPr>
          <w:p w:rsidR="002364D3" w:rsidRPr="002364D3" w:rsidRDefault="002364D3" w:rsidP="00FE6610">
            <w:pPr>
              <w:spacing w:after="0"/>
              <w:jc w:val="center"/>
              <w:rPr>
                <w:rFonts w:ascii="Arial" w:hAnsi="Arial" w:cs="Arial"/>
              </w:rPr>
            </w:pPr>
            <w:r w:rsidRPr="002364D3">
              <w:rPr>
                <w:rFonts w:ascii="Arial" w:hAnsi="Arial" w:cs="Arial"/>
              </w:rPr>
              <w:t>36.3%</w:t>
            </w:r>
          </w:p>
        </w:tc>
      </w:tr>
    </w:tbl>
    <w:p w:rsidR="0041119E" w:rsidRPr="00F5658D" w:rsidRDefault="0041119E" w:rsidP="0041119E">
      <w:pPr>
        <w:jc w:val="both"/>
        <w:rPr>
          <w:rFonts w:ascii="Arial" w:hAnsi="Arial" w:cs="Arial"/>
          <w:bCs/>
        </w:rPr>
      </w:pPr>
    </w:p>
    <w:p w:rsidR="0041119E" w:rsidRPr="00F5658D" w:rsidRDefault="0041119E" w:rsidP="0041119E">
      <w:pPr>
        <w:jc w:val="both"/>
        <w:rPr>
          <w:rFonts w:ascii="Arial" w:hAnsi="Arial" w:cs="Arial"/>
          <w:bCs/>
        </w:rPr>
      </w:pPr>
      <w:r w:rsidRPr="00F5658D">
        <w:rPr>
          <w:rFonts w:ascii="Arial" w:hAnsi="Arial" w:cs="Arial"/>
          <w:bCs/>
        </w:rPr>
        <w:t xml:space="preserve">Time periods start on the first day of each financial year.  The maturity date of borrowing is the earliest date on which the lender can demand repayment. </w:t>
      </w:r>
      <w:r w:rsidR="00A63498" w:rsidRPr="00F5658D">
        <w:rPr>
          <w:rFonts w:ascii="Arial" w:hAnsi="Arial" w:cs="Arial"/>
          <w:bCs/>
          <w:i/>
          <w:color w:val="AF173B"/>
        </w:rPr>
        <w:t xml:space="preserve"> </w:t>
      </w:r>
    </w:p>
    <w:p w:rsidR="008D5F31" w:rsidRPr="00F5658D" w:rsidRDefault="008D5F31" w:rsidP="009F23E2">
      <w:pPr>
        <w:jc w:val="both"/>
        <w:rPr>
          <w:rFonts w:ascii="Arial" w:hAnsi="Arial" w:cs="Arial"/>
          <w:b/>
          <w:bCs/>
          <w:u w:val="single"/>
        </w:rPr>
      </w:pPr>
    </w:p>
    <w:p w:rsidR="008F749A" w:rsidRPr="00F5658D" w:rsidRDefault="00291777" w:rsidP="009F23E2">
      <w:pPr>
        <w:jc w:val="both"/>
        <w:rPr>
          <w:rFonts w:ascii="Arial" w:hAnsi="Arial" w:cs="Arial"/>
          <w:b/>
          <w:bCs/>
          <w:u w:val="single"/>
        </w:rPr>
      </w:pPr>
      <w:r w:rsidRPr="00F5658D">
        <w:rPr>
          <w:rFonts w:ascii="Arial" w:hAnsi="Arial" w:cs="Arial"/>
          <w:b/>
          <w:bCs/>
          <w:u w:val="single"/>
        </w:rPr>
        <w:t>Other Items</w:t>
      </w:r>
    </w:p>
    <w:p w:rsidR="00291777" w:rsidRPr="00F5658D" w:rsidRDefault="00291777" w:rsidP="009F23E2">
      <w:pPr>
        <w:jc w:val="both"/>
        <w:rPr>
          <w:rFonts w:ascii="Arial" w:hAnsi="Arial" w:cs="Arial"/>
          <w:bCs/>
        </w:rPr>
      </w:pPr>
      <w:r w:rsidRPr="00F5658D">
        <w:rPr>
          <w:rFonts w:ascii="Arial" w:hAnsi="Arial" w:cs="Arial"/>
          <w:bCs/>
        </w:rPr>
        <w:t xml:space="preserve">There are a number of additional items that the Authority is obliged by CIPFA or </w:t>
      </w:r>
      <w:r w:rsidR="00753088" w:rsidRPr="00F5658D">
        <w:rPr>
          <w:rFonts w:ascii="Arial" w:hAnsi="Arial" w:cs="Arial"/>
          <w:bCs/>
        </w:rPr>
        <w:t>the DOE</w:t>
      </w:r>
      <w:r w:rsidRPr="00F5658D">
        <w:rPr>
          <w:rFonts w:ascii="Arial" w:hAnsi="Arial" w:cs="Arial"/>
          <w:bCs/>
        </w:rPr>
        <w:t xml:space="preserve"> to include in its Treasury Management Strategy.</w:t>
      </w:r>
    </w:p>
    <w:p w:rsidR="00F57541" w:rsidRPr="00F5658D" w:rsidRDefault="00F57541" w:rsidP="00F57541">
      <w:pPr>
        <w:pStyle w:val="ListParagraph"/>
        <w:ind w:left="0"/>
        <w:contextualSpacing w:val="0"/>
        <w:jc w:val="both"/>
        <w:rPr>
          <w:rFonts w:ascii="Arial" w:hAnsi="Arial" w:cs="Arial"/>
          <w:bCs/>
        </w:rPr>
      </w:pPr>
      <w:r w:rsidRPr="00F5658D">
        <w:rPr>
          <w:rFonts w:ascii="Arial" w:hAnsi="Arial" w:cs="Arial"/>
          <w:b/>
        </w:rPr>
        <w:t>Policy on Use of Financial Derivatives</w:t>
      </w:r>
      <w:r w:rsidR="004B4BFE" w:rsidRPr="00F5658D">
        <w:rPr>
          <w:rFonts w:ascii="Arial" w:hAnsi="Arial" w:cs="Arial"/>
          <w:b/>
        </w:rPr>
        <w:t>:</w:t>
      </w:r>
      <w:r w:rsidRPr="00F5658D">
        <w:rPr>
          <w:rFonts w:ascii="Arial" w:hAnsi="Arial" w:cs="Arial"/>
          <w:b/>
        </w:rPr>
        <w:t xml:space="preserve"> </w:t>
      </w:r>
      <w:r w:rsidRPr="00F5658D">
        <w:rPr>
          <w:rFonts w:ascii="Arial" w:hAnsi="Arial" w:cs="Arial"/>
          <w:bCs/>
        </w:rPr>
        <w:t>In the absence of any legal power to do so, the Authority will not use standalone financial derivatives (such as swaps, forwards, futures and options).  Derivatives embedded into loans and investments</w:t>
      </w:r>
      <w:r w:rsidR="00421F9E" w:rsidRPr="00F5658D">
        <w:rPr>
          <w:rFonts w:ascii="Arial" w:hAnsi="Arial" w:cs="Arial"/>
          <w:bCs/>
        </w:rPr>
        <w:t>, including pooled funds</w:t>
      </w:r>
      <w:r w:rsidR="00A0283A" w:rsidRPr="00F5658D">
        <w:rPr>
          <w:rFonts w:ascii="Arial" w:hAnsi="Arial" w:cs="Arial"/>
          <w:bCs/>
        </w:rPr>
        <w:t xml:space="preserve"> </w:t>
      </w:r>
      <w:r w:rsidR="00A0283A" w:rsidRPr="002364D3">
        <w:rPr>
          <w:rFonts w:ascii="Arial" w:hAnsi="Arial" w:cs="Arial"/>
          <w:bCs/>
        </w:rPr>
        <w:t>and forward starting transactions</w:t>
      </w:r>
      <w:r w:rsidR="00421F9E" w:rsidRPr="002364D3">
        <w:rPr>
          <w:rFonts w:ascii="Arial" w:hAnsi="Arial" w:cs="Arial"/>
          <w:bCs/>
        </w:rPr>
        <w:t>,</w:t>
      </w:r>
      <w:r w:rsidRPr="002364D3">
        <w:rPr>
          <w:rFonts w:ascii="Arial" w:hAnsi="Arial" w:cs="Arial"/>
          <w:bCs/>
        </w:rPr>
        <w:t xml:space="preserve"> may be used, and the risks that they present will be manage</w:t>
      </w:r>
      <w:r w:rsidRPr="00F5658D">
        <w:rPr>
          <w:rFonts w:ascii="Arial" w:hAnsi="Arial" w:cs="Arial"/>
          <w:bCs/>
        </w:rPr>
        <w:t>d in line with the overall treasury risk management strategy.</w:t>
      </w:r>
    </w:p>
    <w:p w:rsidR="008D3CCA" w:rsidRPr="00F5658D" w:rsidRDefault="009F0773" w:rsidP="008D3CCA">
      <w:pPr>
        <w:jc w:val="both"/>
        <w:rPr>
          <w:rFonts w:ascii="Arial" w:hAnsi="Arial" w:cs="Arial"/>
          <w:bCs/>
        </w:rPr>
      </w:pPr>
      <w:r w:rsidRPr="00F5658D">
        <w:rPr>
          <w:rFonts w:ascii="Arial" w:hAnsi="Arial" w:cs="Arial"/>
          <w:b/>
          <w:bCs/>
        </w:rPr>
        <w:t xml:space="preserve">Investment </w:t>
      </w:r>
      <w:r w:rsidR="00D930E0" w:rsidRPr="00F5658D">
        <w:rPr>
          <w:rFonts w:ascii="Arial" w:hAnsi="Arial" w:cs="Arial"/>
          <w:b/>
          <w:bCs/>
        </w:rPr>
        <w:t>Training</w:t>
      </w:r>
      <w:r w:rsidRPr="00F5658D">
        <w:rPr>
          <w:rFonts w:ascii="Arial" w:hAnsi="Arial" w:cs="Arial"/>
          <w:b/>
          <w:bCs/>
        </w:rPr>
        <w:t xml:space="preserve">: </w:t>
      </w:r>
      <w:r w:rsidR="008D3CCA" w:rsidRPr="00F5658D">
        <w:rPr>
          <w:rFonts w:ascii="Arial" w:hAnsi="Arial" w:cs="Arial"/>
          <w:bCs/>
        </w:rPr>
        <w:t xml:space="preserve">The needs of the </w:t>
      </w:r>
      <w:r w:rsidR="008F4202" w:rsidRPr="00F5658D">
        <w:rPr>
          <w:rFonts w:ascii="Arial" w:hAnsi="Arial" w:cs="Arial"/>
          <w:bCs/>
        </w:rPr>
        <w:t>Authority</w:t>
      </w:r>
      <w:r w:rsidR="008D3CCA" w:rsidRPr="00F5658D">
        <w:rPr>
          <w:rFonts w:ascii="Arial" w:hAnsi="Arial" w:cs="Arial"/>
          <w:bCs/>
        </w:rPr>
        <w:t xml:space="preserve">’s treasury management staff for training in investment management are assessed </w:t>
      </w:r>
      <w:r w:rsidR="00962A72">
        <w:rPr>
          <w:rFonts w:ascii="Arial" w:hAnsi="Arial" w:cs="Arial"/>
          <w:bCs/>
        </w:rPr>
        <w:t>regularly</w:t>
      </w:r>
      <w:r w:rsidR="008D3CCA" w:rsidRPr="00F5658D">
        <w:rPr>
          <w:rFonts w:ascii="Arial" w:hAnsi="Arial" w:cs="Arial"/>
          <w:bCs/>
        </w:rPr>
        <w:t xml:space="preserve"> and additionally when the responsibilities of individual members of staff change.</w:t>
      </w:r>
    </w:p>
    <w:p w:rsidR="008D3CCA" w:rsidRPr="00F5658D" w:rsidRDefault="008D3CCA" w:rsidP="008D3CCA">
      <w:pPr>
        <w:jc w:val="both"/>
        <w:rPr>
          <w:rFonts w:ascii="Arial" w:hAnsi="Arial" w:cs="Arial"/>
          <w:bCs/>
        </w:rPr>
      </w:pPr>
      <w:r w:rsidRPr="00F5658D">
        <w:rPr>
          <w:rFonts w:ascii="Arial" w:hAnsi="Arial" w:cs="Arial"/>
          <w:bCs/>
        </w:rPr>
        <w:t>Staff regularly attend training courses, seminars and conferences provided by Arlingclose and CIPFA. Relevant staff are also encouraged to study professional qualifications from CIPFA, the Association of Corporate Treasurers and other appropriate organisations.</w:t>
      </w:r>
    </w:p>
    <w:p w:rsidR="00D930E0" w:rsidRPr="00F5658D" w:rsidRDefault="009F0773" w:rsidP="009F23E2">
      <w:pPr>
        <w:jc w:val="both"/>
        <w:rPr>
          <w:rFonts w:ascii="Arial" w:hAnsi="Arial" w:cs="Arial"/>
          <w:bCs/>
        </w:rPr>
      </w:pPr>
      <w:r w:rsidRPr="00F5658D">
        <w:rPr>
          <w:rFonts w:ascii="Arial" w:hAnsi="Arial" w:cs="Arial"/>
          <w:b/>
          <w:bCs/>
        </w:rPr>
        <w:t>Investment</w:t>
      </w:r>
      <w:r w:rsidR="00AB44DD" w:rsidRPr="00F5658D">
        <w:rPr>
          <w:rFonts w:ascii="Arial" w:hAnsi="Arial" w:cs="Arial"/>
          <w:b/>
          <w:bCs/>
        </w:rPr>
        <w:t xml:space="preserve"> </w:t>
      </w:r>
      <w:r w:rsidR="00D930E0" w:rsidRPr="00F5658D">
        <w:rPr>
          <w:rFonts w:ascii="Arial" w:hAnsi="Arial" w:cs="Arial"/>
          <w:b/>
          <w:bCs/>
        </w:rPr>
        <w:t>Advis</w:t>
      </w:r>
      <w:r w:rsidR="008D3CCA" w:rsidRPr="00F5658D">
        <w:rPr>
          <w:rFonts w:ascii="Arial" w:hAnsi="Arial" w:cs="Arial"/>
          <w:b/>
          <w:bCs/>
        </w:rPr>
        <w:t>e</w:t>
      </w:r>
      <w:r w:rsidR="00D930E0" w:rsidRPr="00F5658D">
        <w:rPr>
          <w:rFonts w:ascii="Arial" w:hAnsi="Arial" w:cs="Arial"/>
          <w:b/>
          <w:bCs/>
        </w:rPr>
        <w:t>rs</w:t>
      </w:r>
      <w:r w:rsidRPr="00F5658D">
        <w:rPr>
          <w:rFonts w:ascii="Arial" w:hAnsi="Arial" w:cs="Arial"/>
          <w:b/>
          <w:bCs/>
        </w:rPr>
        <w:t>:</w:t>
      </w:r>
      <w:r w:rsidR="008D3CCA" w:rsidRPr="00F5658D">
        <w:rPr>
          <w:rFonts w:ascii="Arial" w:hAnsi="Arial" w:cs="Arial"/>
          <w:b/>
          <w:bCs/>
        </w:rPr>
        <w:t xml:space="preserve"> </w:t>
      </w:r>
      <w:r w:rsidR="00D20E41" w:rsidRPr="00F5658D">
        <w:rPr>
          <w:rFonts w:ascii="Arial" w:hAnsi="Arial" w:cs="Arial"/>
          <w:bCs/>
        </w:rPr>
        <w:t xml:space="preserve">The Authority </w:t>
      </w:r>
      <w:r w:rsidR="008D3CCA" w:rsidRPr="00F5658D">
        <w:rPr>
          <w:rFonts w:ascii="Arial" w:hAnsi="Arial" w:cs="Arial"/>
          <w:bCs/>
        </w:rPr>
        <w:t>has appointed</w:t>
      </w:r>
      <w:r w:rsidR="00D20E41" w:rsidRPr="00F5658D">
        <w:rPr>
          <w:rFonts w:ascii="Arial" w:hAnsi="Arial" w:cs="Arial"/>
          <w:bCs/>
        </w:rPr>
        <w:t xml:space="preserve"> Arlingclose </w:t>
      </w:r>
      <w:r w:rsidR="008D3CCA" w:rsidRPr="00F5658D">
        <w:rPr>
          <w:rFonts w:ascii="Arial" w:hAnsi="Arial" w:cs="Arial"/>
          <w:bCs/>
        </w:rPr>
        <w:t xml:space="preserve">Limited </w:t>
      </w:r>
      <w:r w:rsidR="00D20E41" w:rsidRPr="00F5658D">
        <w:rPr>
          <w:rFonts w:ascii="Arial" w:hAnsi="Arial" w:cs="Arial"/>
          <w:bCs/>
        </w:rPr>
        <w:t xml:space="preserve">as </w:t>
      </w:r>
      <w:r w:rsidR="008D3CCA" w:rsidRPr="00F5658D">
        <w:rPr>
          <w:rFonts w:ascii="Arial" w:hAnsi="Arial" w:cs="Arial"/>
          <w:bCs/>
        </w:rPr>
        <w:t>t</w:t>
      </w:r>
      <w:r w:rsidR="00D20E41" w:rsidRPr="00F5658D">
        <w:rPr>
          <w:rFonts w:ascii="Arial" w:hAnsi="Arial" w:cs="Arial"/>
          <w:bCs/>
        </w:rPr>
        <w:t xml:space="preserve">reasury </w:t>
      </w:r>
      <w:r w:rsidR="008D3CCA" w:rsidRPr="00F5658D">
        <w:rPr>
          <w:rFonts w:ascii="Arial" w:hAnsi="Arial" w:cs="Arial"/>
          <w:bCs/>
        </w:rPr>
        <w:t>m</w:t>
      </w:r>
      <w:r w:rsidR="00D20E41" w:rsidRPr="00F5658D">
        <w:rPr>
          <w:rFonts w:ascii="Arial" w:hAnsi="Arial" w:cs="Arial"/>
          <w:bCs/>
        </w:rPr>
        <w:t xml:space="preserve">anagement </w:t>
      </w:r>
      <w:r w:rsidR="008D3CCA" w:rsidRPr="00F5658D">
        <w:rPr>
          <w:rFonts w:ascii="Arial" w:hAnsi="Arial" w:cs="Arial"/>
          <w:bCs/>
        </w:rPr>
        <w:t>a</w:t>
      </w:r>
      <w:r w:rsidR="00D20E41" w:rsidRPr="00F5658D">
        <w:rPr>
          <w:rFonts w:ascii="Arial" w:hAnsi="Arial" w:cs="Arial"/>
          <w:bCs/>
        </w:rPr>
        <w:t>dvis</w:t>
      </w:r>
      <w:r w:rsidR="008D3CCA" w:rsidRPr="00F5658D">
        <w:rPr>
          <w:rFonts w:ascii="Arial" w:hAnsi="Arial" w:cs="Arial"/>
          <w:bCs/>
        </w:rPr>
        <w:t>e</w:t>
      </w:r>
      <w:r w:rsidR="00D20E41" w:rsidRPr="00F5658D">
        <w:rPr>
          <w:rFonts w:ascii="Arial" w:hAnsi="Arial" w:cs="Arial"/>
          <w:bCs/>
        </w:rPr>
        <w:t xml:space="preserve">rs and receives </w:t>
      </w:r>
      <w:r w:rsidR="008D3CCA" w:rsidRPr="00F5658D">
        <w:rPr>
          <w:rFonts w:ascii="Arial" w:hAnsi="Arial" w:cs="Arial"/>
          <w:bCs/>
        </w:rPr>
        <w:t xml:space="preserve">specific advice on investment, debt and capital finance issues. </w:t>
      </w:r>
    </w:p>
    <w:p w:rsidR="00753DAA" w:rsidRPr="00F5658D" w:rsidRDefault="009F0773" w:rsidP="00753DAA">
      <w:pPr>
        <w:jc w:val="both"/>
        <w:rPr>
          <w:rFonts w:ascii="Arial" w:hAnsi="Arial" w:cs="Arial"/>
          <w:bCs/>
        </w:rPr>
      </w:pPr>
      <w:r w:rsidRPr="00F5658D">
        <w:rPr>
          <w:rFonts w:ascii="Arial" w:hAnsi="Arial" w:cs="Arial"/>
          <w:b/>
          <w:bCs/>
        </w:rPr>
        <w:t>Investment of Money Borrowed in Advance of Need</w:t>
      </w:r>
      <w:r w:rsidRPr="00F5658D">
        <w:rPr>
          <w:rFonts w:ascii="Arial" w:hAnsi="Arial" w:cs="Arial"/>
          <w:bCs/>
        </w:rPr>
        <w:t xml:space="preserve">: </w:t>
      </w:r>
      <w:r w:rsidR="00753DAA" w:rsidRPr="00F5658D">
        <w:rPr>
          <w:rFonts w:ascii="Arial" w:hAnsi="Arial" w:cs="Arial"/>
          <w:bCs/>
        </w:rPr>
        <w:t xml:space="preserve">The </w:t>
      </w:r>
      <w:r w:rsidR="008F4202" w:rsidRPr="00F5658D">
        <w:rPr>
          <w:rFonts w:ascii="Arial" w:hAnsi="Arial" w:cs="Arial"/>
          <w:bCs/>
        </w:rPr>
        <w:t>Authority</w:t>
      </w:r>
      <w:r w:rsidR="00753DAA" w:rsidRPr="00F5658D">
        <w:rPr>
          <w:rFonts w:ascii="Arial" w:hAnsi="Arial" w:cs="Arial"/>
          <w:bCs/>
        </w:rPr>
        <w:t xml:space="preserve"> may, from time to time, borrow in advance of need, where this is expected to provide the best long term value for money.  Since amounts borrowed will be invested until spent, the </w:t>
      </w:r>
      <w:r w:rsidR="008F4202" w:rsidRPr="00F5658D">
        <w:rPr>
          <w:rFonts w:ascii="Arial" w:hAnsi="Arial" w:cs="Arial"/>
          <w:bCs/>
        </w:rPr>
        <w:t>Authority</w:t>
      </w:r>
      <w:r w:rsidR="00753DAA" w:rsidRPr="00F5658D">
        <w:rPr>
          <w:rFonts w:ascii="Arial" w:hAnsi="Arial" w:cs="Arial"/>
          <w:bCs/>
        </w:rPr>
        <w:t xml:space="preserve"> is aware that it will be exposed to the risk of loss of the borrowed sums, and the risk that investment and borrowing interest rates may change in the intervening period.  These risks will be managed as part of the </w:t>
      </w:r>
      <w:r w:rsidR="008F4202" w:rsidRPr="00F5658D">
        <w:rPr>
          <w:rFonts w:ascii="Arial" w:hAnsi="Arial" w:cs="Arial"/>
          <w:bCs/>
        </w:rPr>
        <w:t>Authority</w:t>
      </w:r>
      <w:r w:rsidR="00753DAA" w:rsidRPr="00F5658D">
        <w:rPr>
          <w:rFonts w:ascii="Arial" w:hAnsi="Arial" w:cs="Arial"/>
          <w:bCs/>
        </w:rPr>
        <w:t>’s overall management of its treasury risks.</w:t>
      </w:r>
    </w:p>
    <w:p w:rsidR="00202E2E" w:rsidRPr="00F5658D" w:rsidRDefault="00753DAA" w:rsidP="00753DAA">
      <w:pPr>
        <w:jc w:val="both"/>
        <w:rPr>
          <w:rFonts w:ascii="Arial" w:hAnsi="Arial" w:cs="Arial"/>
        </w:rPr>
      </w:pPr>
      <w:r w:rsidRPr="00F5658D">
        <w:rPr>
          <w:rFonts w:ascii="Arial" w:hAnsi="Arial" w:cs="Arial"/>
          <w:bCs/>
        </w:rPr>
        <w:lastRenderedPageBreak/>
        <w:t xml:space="preserve">The total amount borrowed will not exceed the authorised borrowing limit </w:t>
      </w:r>
      <w:r w:rsidRPr="002364D3">
        <w:rPr>
          <w:rFonts w:ascii="Arial" w:hAnsi="Arial" w:cs="Arial"/>
          <w:bCs/>
        </w:rPr>
        <w:t xml:space="preserve">of </w:t>
      </w:r>
      <w:r w:rsidR="00243E06" w:rsidRPr="002364D3">
        <w:rPr>
          <w:rFonts w:ascii="Arial" w:hAnsi="Arial" w:cs="Arial"/>
        </w:rPr>
        <w:t>£</w:t>
      </w:r>
      <w:r w:rsidR="002364D3" w:rsidRPr="002364D3">
        <w:rPr>
          <w:rFonts w:ascii="Arial" w:hAnsi="Arial" w:cs="Arial"/>
        </w:rPr>
        <w:t>81.2</w:t>
      </w:r>
      <w:r w:rsidR="00243E06" w:rsidRPr="00F5658D">
        <w:rPr>
          <w:rFonts w:ascii="Arial" w:hAnsi="Arial" w:cs="Arial"/>
          <w:bCs/>
        </w:rPr>
        <w:t xml:space="preserve"> </w:t>
      </w:r>
      <w:r w:rsidRPr="00F5658D">
        <w:rPr>
          <w:rFonts w:ascii="Arial" w:hAnsi="Arial" w:cs="Arial"/>
          <w:bCs/>
        </w:rPr>
        <w:t>million</w:t>
      </w:r>
      <w:r w:rsidR="002364D3">
        <w:rPr>
          <w:rFonts w:ascii="Arial" w:hAnsi="Arial" w:cs="Arial"/>
          <w:bCs/>
        </w:rPr>
        <w:t xml:space="preserve"> for 2016/2017</w:t>
      </w:r>
      <w:r w:rsidRPr="00F5658D">
        <w:rPr>
          <w:rFonts w:ascii="Arial" w:hAnsi="Arial" w:cs="Arial"/>
          <w:bCs/>
        </w:rPr>
        <w:t xml:space="preserve">.  The maximum period between borrowing and expenditure is expected to </w:t>
      </w:r>
      <w:r w:rsidRPr="002364D3">
        <w:rPr>
          <w:rFonts w:ascii="Arial" w:hAnsi="Arial" w:cs="Arial"/>
          <w:bCs/>
        </w:rPr>
        <w:t xml:space="preserve">be </w:t>
      </w:r>
      <w:r w:rsidR="002364D3">
        <w:rPr>
          <w:rFonts w:ascii="Arial" w:hAnsi="Arial" w:cs="Arial"/>
          <w:bCs/>
        </w:rPr>
        <w:t>two</w:t>
      </w:r>
      <w:r w:rsidRPr="00F5658D">
        <w:rPr>
          <w:rFonts w:ascii="Arial" w:hAnsi="Arial" w:cs="Arial"/>
          <w:bCs/>
        </w:rPr>
        <w:t xml:space="preserve"> years, although the </w:t>
      </w:r>
      <w:r w:rsidR="008F4202" w:rsidRPr="00F5658D">
        <w:rPr>
          <w:rFonts w:ascii="Arial" w:hAnsi="Arial" w:cs="Arial"/>
          <w:bCs/>
        </w:rPr>
        <w:t>Authority</w:t>
      </w:r>
      <w:r w:rsidRPr="00F5658D">
        <w:rPr>
          <w:rFonts w:ascii="Arial" w:hAnsi="Arial" w:cs="Arial"/>
          <w:bCs/>
        </w:rPr>
        <w:t xml:space="preserve"> </w:t>
      </w:r>
      <w:r w:rsidR="004348CC" w:rsidRPr="00F5658D">
        <w:rPr>
          <w:rFonts w:ascii="Arial" w:hAnsi="Arial" w:cs="Arial"/>
          <w:bCs/>
        </w:rPr>
        <w:t>is not required to</w:t>
      </w:r>
      <w:r w:rsidRPr="00F5658D">
        <w:rPr>
          <w:rFonts w:ascii="Arial" w:hAnsi="Arial" w:cs="Arial"/>
          <w:bCs/>
        </w:rPr>
        <w:t xml:space="preserve"> link particular loans with particular items of expenditure.</w:t>
      </w:r>
    </w:p>
    <w:p w:rsidR="00440A2C" w:rsidRPr="00F5658D" w:rsidRDefault="00440A2C" w:rsidP="009F23E2">
      <w:pPr>
        <w:pStyle w:val="ListParagraph"/>
        <w:ind w:left="0"/>
        <w:contextualSpacing w:val="0"/>
        <w:jc w:val="both"/>
        <w:rPr>
          <w:rFonts w:ascii="Arial" w:hAnsi="Arial" w:cs="Arial"/>
          <w:b/>
          <w:u w:val="single"/>
        </w:rPr>
      </w:pPr>
    </w:p>
    <w:p w:rsidR="0041798A" w:rsidRPr="00F5658D" w:rsidRDefault="0041798A" w:rsidP="009F23E2">
      <w:pPr>
        <w:pStyle w:val="ListParagraph"/>
        <w:ind w:left="0"/>
        <w:contextualSpacing w:val="0"/>
        <w:jc w:val="both"/>
        <w:rPr>
          <w:rFonts w:ascii="Arial" w:hAnsi="Arial" w:cs="Arial"/>
          <w:b/>
          <w:u w:val="single"/>
        </w:rPr>
      </w:pPr>
      <w:r w:rsidRPr="00F5658D">
        <w:rPr>
          <w:rFonts w:ascii="Arial" w:hAnsi="Arial" w:cs="Arial"/>
          <w:b/>
          <w:u w:val="single"/>
        </w:rPr>
        <w:t>Financial Implications</w:t>
      </w:r>
    </w:p>
    <w:p w:rsidR="0041798A" w:rsidRPr="00F5658D" w:rsidRDefault="00962A72" w:rsidP="009F23E2">
      <w:pPr>
        <w:pStyle w:val="ListParagraph"/>
        <w:ind w:left="0"/>
        <w:contextualSpacing w:val="0"/>
        <w:jc w:val="both"/>
        <w:rPr>
          <w:rFonts w:ascii="Arial" w:hAnsi="Arial" w:cs="Arial"/>
        </w:rPr>
      </w:pPr>
      <w:r w:rsidRPr="00F5658D">
        <w:rPr>
          <w:rFonts w:ascii="Arial" w:hAnsi="Arial" w:cs="Arial"/>
        </w:rPr>
        <w:t>The budget for investment income in 2016/17 is £</w:t>
      </w:r>
      <w:r>
        <w:rPr>
          <w:rFonts w:ascii="Arial" w:hAnsi="Arial" w:cs="Arial"/>
        </w:rPr>
        <w:t xml:space="preserve">0 </w:t>
      </w:r>
      <w:r w:rsidRPr="00F5658D">
        <w:rPr>
          <w:rFonts w:ascii="Arial" w:hAnsi="Arial" w:cs="Arial"/>
        </w:rPr>
        <w:t>million, based on an average investment portfolio of £</w:t>
      </w:r>
      <w:r w:rsidR="0068690A">
        <w:rPr>
          <w:rFonts w:ascii="Arial" w:hAnsi="Arial" w:cs="Arial"/>
        </w:rPr>
        <w:t>4</w:t>
      </w:r>
      <w:r>
        <w:rPr>
          <w:rFonts w:ascii="Arial" w:hAnsi="Arial" w:cs="Arial"/>
          <w:color w:val="AF173B"/>
        </w:rPr>
        <w:t xml:space="preserve"> </w:t>
      </w:r>
      <w:r w:rsidRPr="00F5658D">
        <w:rPr>
          <w:rFonts w:ascii="Arial" w:hAnsi="Arial" w:cs="Arial"/>
        </w:rPr>
        <w:t xml:space="preserve">million at an interest rate of </w:t>
      </w:r>
      <w:r w:rsidRPr="002364D3">
        <w:rPr>
          <w:rFonts w:ascii="Arial" w:hAnsi="Arial" w:cs="Arial"/>
        </w:rPr>
        <w:t>0.2%</w:t>
      </w:r>
      <w:r>
        <w:rPr>
          <w:rFonts w:ascii="Arial" w:hAnsi="Arial" w:cs="Arial"/>
        </w:rPr>
        <w:t>.</w:t>
      </w:r>
      <w:r w:rsidRPr="00F5658D">
        <w:rPr>
          <w:rFonts w:ascii="Arial" w:hAnsi="Arial" w:cs="Arial"/>
        </w:rPr>
        <w:t xml:space="preserve">  The budget for debt interest paid in 2016/17 is £</w:t>
      </w:r>
      <w:r w:rsidRPr="002364D3">
        <w:rPr>
          <w:rFonts w:ascii="Arial" w:hAnsi="Arial" w:cs="Arial"/>
        </w:rPr>
        <w:t>2.5</w:t>
      </w:r>
      <w:r w:rsidRPr="00F5658D">
        <w:rPr>
          <w:rFonts w:ascii="Arial" w:hAnsi="Arial" w:cs="Arial"/>
        </w:rPr>
        <w:t xml:space="preserve"> million, based on an average debt portfolio of £</w:t>
      </w:r>
      <w:r w:rsidRPr="002364D3">
        <w:rPr>
          <w:rFonts w:ascii="Arial" w:hAnsi="Arial" w:cs="Arial"/>
        </w:rPr>
        <w:t>68.2</w:t>
      </w:r>
      <w:r w:rsidRPr="00F5658D">
        <w:rPr>
          <w:rFonts w:ascii="Arial" w:hAnsi="Arial" w:cs="Arial"/>
        </w:rPr>
        <w:t xml:space="preserve"> million at an average interest rate of </w:t>
      </w:r>
      <w:r w:rsidRPr="002364D3">
        <w:rPr>
          <w:rFonts w:ascii="Arial" w:hAnsi="Arial" w:cs="Arial"/>
        </w:rPr>
        <w:t>3.67%.</w:t>
      </w:r>
      <w:r w:rsidRPr="00F5658D">
        <w:rPr>
          <w:rFonts w:ascii="Arial" w:hAnsi="Arial" w:cs="Arial"/>
        </w:rPr>
        <w:t xml:space="preserve">  </w:t>
      </w:r>
      <w:r w:rsidR="0041798A" w:rsidRPr="00F5658D">
        <w:rPr>
          <w:rFonts w:ascii="Arial" w:hAnsi="Arial" w:cs="Arial"/>
        </w:rPr>
        <w:t>If actual levels of investments and borrowing, and actual interest rates differ from those forecast, performance against budget wil</w:t>
      </w:r>
      <w:r w:rsidR="00CC3DE6" w:rsidRPr="00F5658D">
        <w:rPr>
          <w:rFonts w:ascii="Arial" w:hAnsi="Arial" w:cs="Arial"/>
        </w:rPr>
        <w:t>l be correspondingly different.</w:t>
      </w:r>
    </w:p>
    <w:p w:rsidR="00202E2E" w:rsidRPr="00F5658D" w:rsidRDefault="00202E2E" w:rsidP="009F23E2">
      <w:pPr>
        <w:pStyle w:val="ListParagraph"/>
        <w:ind w:left="0"/>
        <w:contextualSpacing w:val="0"/>
        <w:jc w:val="both"/>
        <w:rPr>
          <w:rFonts w:ascii="Arial" w:hAnsi="Arial" w:cs="Arial"/>
          <w:b/>
          <w:u w:val="single"/>
        </w:rPr>
      </w:pPr>
    </w:p>
    <w:p w:rsidR="009F0773" w:rsidRPr="00F5658D" w:rsidRDefault="009F0773" w:rsidP="009F23E2">
      <w:pPr>
        <w:pStyle w:val="ListParagraph"/>
        <w:ind w:left="0"/>
        <w:contextualSpacing w:val="0"/>
        <w:jc w:val="both"/>
        <w:rPr>
          <w:rFonts w:ascii="Arial" w:hAnsi="Arial" w:cs="Arial"/>
          <w:b/>
          <w:u w:val="single"/>
        </w:rPr>
      </w:pPr>
      <w:r w:rsidRPr="00F5658D">
        <w:rPr>
          <w:rFonts w:ascii="Arial" w:hAnsi="Arial" w:cs="Arial"/>
          <w:b/>
          <w:u w:val="single"/>
        </w:rPr>
        <w:t>Other Options Considered</w:t>
      </w:r>
    </w:p>
    <w:p w:rsidR="00753DAA" w:rsidRPr="00F5658D" w:rsidRDefault="00753DAA" w:rsidP="00753DAA">
      <w:pPr>
        <w:jc w:val="both"/>
        <w:rPr>
          <w:rFonts w:ascii="Arial" w:hAnsi="Arial" w:cs="Arial"/>
          <w:bCs/>
        </w:rPr>
      </w:pPr>
      <w:r w:rsidRPr="00F5658D">
        <w:rPr>
          <w:rFonts w:ascii="Arial" w:hAnsi="Arial" w:cs="Arial"/>
          <w:bCs/>
        </w:rPr>
        <w:t xml:space="preserve">The </w:t>
      </w:r>
      <w:r w:rsidR="00CC3DE6" w:rsidRPr="00F5658D">
        <w:rPr>
          <w:rFonts w:ascii="Arial" w:hAnsi="Arial" w:cs="Arial"/>
          <w:bCs/>
        </w:rPr>
        <w:t>DOE</w:t>
      </w:r>
      <w:r w:rsidRPr="00F5658D">
        <w:rPr>
          <w:rFonts w:ascii="Arial" w:hAnsi="Arial" w:cs="Arial"/>
          <w:bCs/>
        </w:rPr>
        <w:t xml:space="preserve"> Guidance and the CIPFA Code do not prescribe any particular treasury management strategy for local authorities to adopt.  The </w:t>
      </w:r>
      <w:r w:rsidR="001C18CF" w:rsidRPr="001C18CF">
        <w:rPr>
          <w:rFonts w:ascii="Arial" w:hAnsi="Arial" w:cs="Arial"/>
          <w:bCs/>
        </w:rPr>
        <w:t>Head of Finance</w:t>
      </w:r>
      <w:r w:rsidRPr="00F5658D">
        <w:rPr>
          <w:rFonts w:ascii="Arial" w:hAnsi="Arial" w:cs="Arial"/>
          <w:bCs/>
        </w:rPr>
        <w:t xml:space="preserve"> believes that the above strategy represents an appropriate balance between risk management and cost effectiveness.  Some alternative strategies, with their financial and risk management implications, are listed below.</w:t>
      </w:r>
    </w:p>
    <w:p w:rsidR="00753DAA" w:rsidRPr="00F5658D" w:rsidRDefault="00753DAA" w:rsidP="00753DAA">
      <w:pPr>
        <w:spacing w:after="0" w:line="240" w:lineRule="auto"/>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53DAA" w:rsidRPr="00F5658D" w:rsidTr="001B5446">
        <w:tc>
          <w:tcPr>
            <w:tcW w:w="3080" w:type="dxa"/>
          </w:tcPr>
          <w:p w:rsidR="00753DAA" w:rsidRPr="00F5658D" w:rsidRDefault="00753DAA" w:rsidP="00753DAA">
            <w:pPr>
              <w:spacing w:after="0" w:line="240" w:lineRule="auto"/>
              <w:jc w:val="center"/>
              <w:rPr>
                <w:rFonts w:ascii="Arial" w:eastAsia="Times New Roman" w:hAnsi="Arial" w:cs="Arial"/>
                <w:b/>
                <w:lang w:eastAsia="en-GB"/>
              </w:rPr>
            </w:pPr>
            <w:r w:rsidRPr="00F5658D">
              <w:rPr>
                <w:rFonts w:ascii="Arial" w:eastAsia="Times New Roman" w:hAnsi="Arial" w:cs="Arial"/>
                <w:b/>
                <w:lang w:eastAsia="en-GB"/>
              </w:rPr>
              <w:t>Alternative</w:t>
            </w:r>
          </w:p>
        </w:tc>
        <w:tc>
          <w:tcPr>
            <w:tcW w:w="3081" w:type="dxa"/>
          </w:tcPr>
          <w:p w:rsidR="00753DAA" w:rsidRPr="00F5658D" w:rsidRDefault="00753DAA" w:rsidP="00753DAA">
            <w:pPr>
              <w:spacing w:after="0" w:line="240" w:lineRule="auto"/>
              <w:jc w:val="center"/>
              <w:rPr>
                <w:rFonts w:ascii="Arial" w:eastAsia="Times New Roman" w:hAnsi="Arial" w:cs="Arial"/>
                <w:b/>
                <w:lang w:eastAsia="en-GB"/>
              </w:rPr>
            </w:pPr>
            <w:r w:rsidRPr="00F5658D">
              <w:rPr>
                <w:rFonts w:ascii="Arial" w:eastAsia="Times New Roman" w:hAnsi="Arial" w:cs="Arial"/>
                <w:b/>
                <w:lang w:eastAsia="en-GB"/>
              </w:rPr>
              <w:t>Impact on income and expenditure</w:t>
            </w:r>
          </w:p>
        </w:tc>
        <w:tc>
          <w:tcPr>
            <w:tcW w:w="3081" w:type="dxa"/>
          </w:tcPr>
          <w:p w:rsidR="00753DAA" w:rsidRPr="00F5658D" w:rsidRDefault="00753DAA" w:rsidP="00753DAA">
            <w:pPr>
              <w:spacing w:after="0" w:line="240" w:lineRule="auto"/>
              <w:jc w:val="center"/>
              <w:rPr>
                <w:rFonts w:ascii="Arial" w:eastAsia="Times New Roman" w:hAnsi="Arial" w:cs="Arial"/>
                <w:b/>
                <w:lang w:eastAsia="en-GB"/>
              </w:rPr>
            </w:pPr>
            <w:r w:rsidRPr="00F5658D">
              <w:rPr>
                <w:rFonts w:ascii="Arial" w:eastAsia="Times New Roman" w:hAnsi="Arial" w:cs="Arial"/>
                <w:b/>
                <w:lang w:eastAsia="en-GB"/>
              </w:rPr>
              <w:t>Impact on risk management</w:t>
            </w:r>
          </w:p>
        </w:tc>
      </w:tr>
      <w:tr w:rsidR="00753DAA" w:rsidRPr="00F5658D" w:rsidTr="001B5446">
        <w:tc>
          <w:tcPr>
            <w:tcW w:w="3080" w:type="dxa"/>
          </w:tcPr>
          <w:p w:rsidR="00753DAA" w:rsidRPr="00F5658D" w:rsidRDefault="00313A6E" w:rsidP="00313A6E">
            <w:pPr>
              <w:spacing w:after="0" w:line="240" w:lineRule="auto"/>
              <w:rPr>
                <w:rFonts w:ascii="Arial" w:eastAsia="Times New Roman" w:hAnsi="Arial" w:cs="Arial"/>
                <w:lang w:eastAsia="en-GB"/>
              </w:rPr>
            </w:pPr>
            <w:r w:rsidRPr="00F5658D">
              <w:rPr>
                <w:rFonts w:ascii="Arial" w:eastAsia="Times New Roman" w:hAnsi="Arial" w:cs="Arial"/>
                <w:lang w:eastAsia="en-GB"/>
              </w:rPr>
              <w:t>Invest in a</w:t>
            </w:r>
            <w:r w:rsidR="00753DAA" w:rsidRPr="00F5658D">
              <w:rPr>
                <w:rFonts w:ascii="Arial" w:eastAsia="Times New Roman" w:hAnsi="Arial" w:cs="Arial"/>
                <w:lang w:eastAsia="en-GB"/>
              </w:rPr>
              <w:t xml:space="preserve"> narrower </w:t>
            </w:r>
            <w:r w:rsidRPr="00F5658D">
              <w:rPr>
                <w:rFonts w:ascii="Arial" w:eastAsia="Times New Roman" w:hAnsi="Arial" w:cs="Arial"/>
                <w:lang w:eastAsia="en-GB"/>
              </w:rPr>
              <w:t>range</w:t>
            </w:r>
            <w:r w:rsidR="00753DAA" w:rsidRPr="00F5658D">
              <w:rPr>
                <w:rFonts w:ascii="Arial" w:eastAsia="Times New Roman" w:hAnsi="Arial" w:cs="Arial"/>
                <w:lang w:eastAsia="en-GB"/>
              </w:rPr>
              <w:t xml:space="preserve"> </w:t>
            </w:r>
            <w:r w:rsidRPr="00F5658D">
              <w:rPr>
                <w:rFonts w:ascii="Arial" w:eastAsia="Times New Roman" w:hAnsi="Arial" w:cs="Arial"/>
                <w:lang w:eastAsia="en-GB"/>
              </w:rPr>
              <w:t xml:space="preserve">of counterparties </w:t>
            </w:r>
            <w:r w:rsidR="00753DAA" w:rsidRPr="00F5658D">
              <w:rPr>
                <w:rFonts w:ascii="Arial" w:eastAsia="Times New Roman" w:hAnsi="Arial" w:cs="Arial"/>
                <w:lang w:eastAsia="en-GB"/>
              </w:rPr>
              <w:t xml:space="preserve">and/or </w:t>
            </w:r>
            <w:r w:rsidRPr="00F5658D">
              <w:rPr>
                <w:rFonts w:ascii="Arial" w:eastAsia="Times New Roman" w:hAnsi="Arial" w:cs="Arial"/>
                <w:lang w:eastAsia="en-GB"/>
              </w:rPr>
              <w:t>for shorter times</w:t>
            </w:r>
          </w:p>
        </w:tc>
        <w:tc>
          <w:tcPr>
            <w:tcW w:w="3081"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Interest income will be lower</w:t>
            </w:r>
          </w:p>
        </w:tc>
        <w:tc>
          <w:tcPr>
            <w:tcW w:w="3081" w:type="dxa"/>
          </w:tcPr>
          <w:p w:rsidR="00753DAA" w:rsidRPr="00F5658D" w:rsidRDefault="00C35706" w:rsidP="00A0283A">
            <w:pPr>
              <w:spacing w:after="0" w:line="240" w:lineRule="auto"/>
              <w:rPr>
                <w:rFonts w:ascii="Arial" w:eastAsia="Times New Roman" w:hAnsi="Arial" w:cs="Arial"/>
                <w:lang w:eastAsia="en-GB"/>
              </w:rPr>
            </w:pPr>
            <w:r w:rsidRPr="00F5658D">
              <w:rPr>
                <w:rFonts w:ascii="Arial" w:eastAsia="Times New Roman" w:hAnsi="Arial" w:cs="Arial"/>
                <w:lang w:eastAsia="en-GB"/>
              </w:rPr>
              <w:t>Lower chance</w:t>
            </w:r>
            <w:r w:rsidR="00753DAA" w:rsidRPr="00F5658D">
              <w:rPr>
                <w:rFonts w:ascii="Arial" w:eastAsia="Times New Roman" w:hAnsi="Arial" w:cs="Arial"/>
                <w:lang w:eastAsia="en-GB"/>
              </w:rPr>
              <w:t xml:space="preserve"> of losses from credit related defaults</w:t>
            </w:r>
            <w:r w:rsidRPr="00F5658D">
              <w:rPr>
                <w:rFonts w:ascii="Arial" w:eastAsia="Times New Roman" w:hAnsi="Arial" w:cs="Arial"/>
                <w:lang w:eastAsia="en-GB"/>
              </w:rPr>
              <w:t xml:space="preserve">, but any such losses </w:t>
            </w:r>
            <w:r w:rsidR="00A0283A" w:rsidRPr="00F5658D">
              <w:rPr>
                <w:rFonts w:ascii="Arial" w:eastAsia="Times New Roman" w:hAnsi="Arial" w:cs="Arial"/>
                <w:lang w:eastAsia="en-GB"/>
              </w:rPr>
              <w:t>may</w:t>
            </w:r>
            <w:r w:rsidRPr="00F5658D">
              <w:rPr>
                <w:rFonts w:ascii="Arial" w:eastAsia="Times New Roman" w:hAnsi="Arial" w:cs="Arial"/>
                <w:lang w:eastAsia="en-GB"/>
              </w:rPr>
              <w:t xml:space="preserve"> be greater</w:t>
            </w:r>
          </w:p>
        </w:tc>
      </w:tr>
      <w:tr w:rsidR="00753DAA" w:rsidRPr="00F5658D" w:rsidTr="001B5446">
        <w:tc>
          <w:tcPr>
            <w:tcW w:w="3080" w:type="dxa"/>
          </w:tcPr>
          <w:p w:rsidR="00753DAA" w:rsidRPr="00F5658D" w:rsidRDefault="00313A6E" w:rsidP="00313A6E">
            <w:pPr>
              <w:spacing w:after="0" w:line="240" w:lineRule="auto"/>
              <w:rPr>
                <w:rFonts w:ascii="Arial" w:eastAsia="Times New Roman" w:hAnsi="Arial" w:cs="Arial"/>
                <w:lang w:eastAsia="en-GB"/>
              </w:rPr>
            </w:pPr>
            <w:r w:rsidRPr="00F5658D">
              <w:rPr>
                <w:rFonts w:ascii="Arial" w:eastAsia="Times New Roman" w:hAnsi="Arial" w:cs="Arial"/>
                <w:lang w:eastAsia="en-GB"/>
              </w:rPr>
              <w:t>Invest in a wider range of counterparties and/or for longer times</w:t>
            </w:r>
          </w:p>
        </w:tc>
        <w:tc>
          <w:tcPr>
            <w:tcW w:w="3081"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Interest income will be higher</w:t>
            </w:r>
          </w:p>
        </w:tc>
        <w:tc>
          <w:tcPr>
            <w:tcW w:w="3081" w:type="dxa"/>
          </w:tcPr>
          <w:p w:rsidR="00753DAA" w:rsidRPr="00F5658D" w:rsidRDefault="00753DAA" w:rsidP="00A0283A">
            <w:pPr>
              <w:spacing w:after="0" w:line="240" w:lineRule="auto"/>
              <w:rPr>
                <w:rFonts w:ascii="Arial" w:eastAsia="Times New Roman" w:hAnsi="Arial" w:cs="Arial"/>
                <w:lang w:eastAsia="en-GB"/>
              </w:rPr>
            </w:pPr>
            <w:r w:rsidRPr="00F5658D">
              <w:rPr>
                <w:rFonts w:ascii="Arial" w:eastAsia="Times New Roman" w:hAnsi="Arial" w:cs="Arial"/>
                <w:lang w:eastAsia="en-GB"/>
              </w:rPr>
              <w:t>Increased risk of losses from credit related defaults</w:t>
            </w:r>
            <w:r w:rsidR="00C35706" w:rsidRPr="00F5658D">
              <w:rPr>
                <w:rFonts w:ascii="Arial" w:eastAsia="Times New Roman" w:hAnsi="Arial" w:cs="Arial"/>
                <w:lang w:eastAsia="en-GB"/>
              </w:rPr>
              <w:t xml:space="preserve">, but any such losses </w:t>
            </w:r>
            <w:r w:rsidR="00A0283A" w:rsidRPr="00F5658D">
              <w:rPr>
                <w:rFonts w:ascii="Arial" w:eastAsia="Times New Roman" w:hAnsi="Arial" w:cs="Arial"/>
                <w:lang w:eastAsia="en-GB"/>
              </w:rPr>
              <w:t xml:space="preserve">may </w:t>
            </w:r>
            <w:r w:rsidR="00C35706" w:rsidRPr="00F5658D">
              <w:rPr>
                <w:rFonts w:ascii="Arial" w:eastAsia="Times New Roman" w:hAnsi="Arial" w:cs="Arial"/>
                <w:lang w:eastAsia="en-GB"/>
              </w:rPr>
              <w:t>be smaller</w:t>
            </w:r>
          </w:p>
        </w:tc>
      </w:tr>
      <w:tr w:rsidR="00753DAA" w:rsidRPr="00F5658D" w:rsidTr="001B5446">
        <w:tc>
          <w:tcPr>
            <w:tcW w:w="3080"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Borrow additional sums at long-term fixed interest rates</w:t>
            </w:r>
          </w:p>
        </w:tc>
        <w:tc>
          <w:tcPr>
            <w:tcW w:w="3081"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Debt interest costs will rise; this is unlikely to be offset by higher investment income</w:t>
            </w:r>
          </w:p>
        </w:tc>
        <w:tc>
          <w:tcPr>
            <w:tcW w:w="3081" w:type="dxa"/>
          </w:tcPr>
          <w:p w:rsidR="00753DAA" w:rsidRPr="00F5658D" w:rsidRDefault="00753DAA" w:rsidP="00A0283A">
            <w:pPr>
              <w:spacing w:after="0" w:line="240" w:lineRule="auto"/>
              <w:rPr>
                <w:rFonts w:ascii="Arial" w:eastAsia="Times New Roman" w:hAnsi="Arial" w:cs="Arial"/>
                <w:lang w:eastAsia="en-GB"/>
              </w:rPr>
            </w:pPr>
            <w:r w:rsidRPr="00F5658D">
              <w:rPr>
                <w:rFonts w:ascii="Arial" w:eastAsia="Times New Roman" w:hAnsi="Arial" w:cs="Arial"/>
                <w:lang w:eastAsia="en-GB"/>
              </w:rPr>
              <w:t xml:space="preserve">Higher investment balance leading to a higher impact in the event of a default; however long-term interest costs </w:t>
            </w:r>
            <w:r w:rsidR="00A0283A" w:rsidRPr="00F5658D">
              <w:rPr>
                <w:rFonts w:ascii="Arial" w:eastAsia="Times New Roman" w:hAnsi="Arial" w:cs="Arial"/>
                <w:lang w:eastAsia="en-GB"/>
              </w:rPr>
              <w:t>may</w:t>
            </w:r>
            <w:r w:rsidRPr="00F5658D">
              <w:rPr>
                <w:rFonts w:ascii="Arial" w:eastAsia="Times New Roman" w:hAnsi="Arial" w:cs="Arial"/>
                <w:lang w:eastAsia="en-GB"/>
              </w:rPr>
              <w:t xml:space="preserve"> be more certain</w:t>
            </w:r>
          </w:p>
        </w:tc>
      </w:tr>
      <w:tr w:rsidR="00753DAA" w:rsidRPr="00F5658D" w:rsidTr="001B5446">
        <w:tc>
          <w:tcPr>
            <w:tcW w:w="3080"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Borrow short-term or variable loans instead of long-term fixed rates</w:t>
            </w:r>
          </w:p>
        </w:tc>
        <w:tc>
          <w:tcPr>
            <w:tcW w:w="3081"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Debt interest costs will initially be lower</w:t>
            </w:r>
          </w:p>
        </w:tc>
        <w:tc>
          <w:tcPr>
            <w:tcW w:w="3081" w:type="dxa"/>
          </w:tcPr>
          <w:p w:rsidR="00753DAA" w:rsidRPr="00F5658D" w:rsidRDefault="00753DAA" w:rsidP="00A0283A">
            <w:pPr>
              <w:spacing w:after="0" w:line="240" w:lineRule="auto"/>
              <w:rPr>
                <w:rFonts w:ascii="Arial" w:eastAsia="Times New Roman" w:hAnsi="Arial" w:cs="Arial"/>
                <w:lang w:eastAsia="en-GB"/>
              </w:rPr>
            </w:pPr>
            <w:r w:rsidRPr="00F5658D">
              <w:rPr>
                <w:rFonts w:ascii="Arial" w:eastAsia="Times New Roman" w:hAnsi="Arial" w:cs="Arial"/>
                <w:lang w:eastAsia="en-GB"/>
              </w:rPr>
              <w:t xml:space="preserve">Increases in debt interest costs will be broadly offset by rising investment income in the medium term, but long term costs </w:t>
            </w:r>
            <w:r w:rsidR="00A0283A" w:rsidRPr="00F5658D">
              <w:rPr>
                <w:rFonts w:ascii="Arial" w:eastAsia="Times New Roman" w:hAnsi="Arial" w:cs="Arial"/>
                <w:lang w:eastAsia="en-GB"/>
              </w:rPr>
              <w:t>may</w:t>
            </w:r>
            <w:r w:rsidRPr="00F5658D">
              <w:rPr>
                <w:rFonts w:ascii="Arial" w:eastAsia="Times New Roman" w:hAnsi="Arial" w:cs="Arial"/>
                <w:lang w:eastAsia="en-GB"/>
              </w:rPr>
              <w:t xml:space="preserve"> be less certain </w:t>
            </w:r>
          </w:p>
        </w:tc>
      </w:tr>
      <w:tr w:rsidR="00753DAA" w:rsidRPr="00F5658D" w:rsidTr="001B5446">
        <w:tc>
          <w:tcPr>
            <w:tcW w:w="3080"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Reduce level of borrowing</w:t>
            </w:r>
            <w:r w:rsidR="00313A6E" w:rsidRPr="00F5658D">
              <w:rPr>
                <w:rFonts w:ascii="Arial" w:eastAsia="Times New Roman" w:hAnsi="Arial" w:cs="Arial"/>
                <w:lang w:eastAsia="en-GB"/>
              </w:rPr>
              <w:t xml:space="preserve"> </w:t>
            </w:r>
          </w:p>
        </w:tc>
        <w:tc>
          <w:tcPr>
            <w:tcW w:w="3081" w:type="dxa"/>
          </w:tcPr>
          <w:p w:rsidR="00753DAA" w:rsidRPr="00F5658D" w:rsidRDefault="00753DAA" w:rsidP="00753DAA">
            <w:pPr>
              <w:spacing w:after="0" w:line="240" w:lineRule="auto"/>
              <w:rPr>
                <w:rFonts w:ascii="Arial" w:eastAsia="Times New Roman" w:hAnsi="Arial" w:cs="Arial"/>
                <w:lang w:eastAsia="en-GB"/>
              </w:rPr>
            </w:pPr>
            <w:r w:rsidRPr="00F5658D">
              <w:rPr>
                <w:rFonts w:ascii="Arial" w:eastAsia="Times New Roman" w:hAnsi="Arial" w:cs="Arial"/>
                <w:lang w:eastAsia="en-GB"/>
              </w:rPr>
              <w:t>Saving on debt interest is likely to exceed lost investment income</w:t>
            </w:r>
          </w:p>
        </w:tc>
        <w:tc>
          <w:tcPr>
            <w:tcW w:w="3081" w:type="dxa"/>
          </w:tcPr>
          <w:p w:rsidR="00753DAA" w:rsidRPr="00F5658D" w:rsidRDefault="00753DAA" w:rsidP="00A0283A">
            <w:pPr>
              <w:spacing w:after="0" w:line="240" w:lineRule="auto"/>
              <w:rPr>
                <w:rFonts w:ascii="Arial" w:eastAsia="Times New Roman" w:hAnsi="Arial" w:cs="Arial"/>
                <w:lang w:eastAsia="en-GB"/>
              </w:rPr>
            </w:pPr>
            <w:r w:rsidRPr="00F5658D">
              <w:rPr>
                <w:rFonts w:ascii="Arial" w:eastAsia="Times New Roman" w:hAnsi="Arial" w:cs="Arial"/>
                <w:lang w:eastAsia="en-GB"/>
              </w:rPr>
              <w:t xml:space="preserve">Reduced investment balance leading to a lower impact in the event of a default; however long-term interest costs </w:t>
            </w:r>
            <w:r w:rsidR="00A0283A" w:rsidRPr="00F5658D">
              <w:rPr>
                <w:rFonts w:ascii="Arial" w:eastAsia="Times New Roman" w:hAnsi="Arial" w:cs="Arial"/>
                <w:lang w:eastAsia="en-GB"/>
              </w:rPr>
              <w:t>may</w:t>
            </w:r>
            <w:r w:rsidRPr="00F5658D">
              <w:rPr>
                <w:rFonts w:ascii="Arial" w:eastAsia="Times New Roman" w:hAnsi="Arial" w:cs="Arial"/>
                <w:lang w:eastAsia="en-GB"/>
              </w:rPr>
              <w:t xml:space="preserve"> be less certain</w:t>
            </w:r>
          </w:p>
        </w:tc>
      </w:tr>
    </w:tbl>
    <w:p w:rsidR="00753DAA" w:rsidRPr="00F5658D" w:rsidRDefault="00753DAA" w:rsidP="00753DAA">
      <w:pPr>
        <w:spacing w:after="0" w:line="240" w:lineRule="auto"/>
        <w:jc w:val="both"/>
        <w:rPr>
          <w:rFonts w:ascii="Arial" w:eastAsia="Times New Roman" w:hAnsi="Arial" w:cs="Arial"/>
          <w:lang w:eastAsia="en-GB"/>
        </w:rPr>
      </w:pPr>
    </w:p>
    <w:p w:rsidR="00753DAA" w:rsidRPr="00F5658D" w:rsidRDefault="00DB30A0" w:rsidP="009F23E2">
      <w:pPr>
        <w:pStyle w:val="ListParagraph"/>
        <w:ind w:left="0"/>
        <w:contextualSpacing w:val="0"/>
        <w:jc w:val="both"/>
        <w:rPr>
          <w:rFonts w:ascii="Arial" w:hAnsi="Arial" w:cs="Arial"/>
          <w:b/>
          <w:i/>
        </w:rPr>
      </w:pPr>
      <w:r w:rsidRPr="00F5658D">
        <w:rPr>
          <w:rFonts w:ascii="Arial" w:hAnsi="Arial" w:cs="Arial"/>
        </w:rPr>
        <w:br w:type="page"/>
      </w:r>
      <w:r w:rsidR="00753DAA" w:rsidRPr="00F5658D">
        <w:rPr>
          <w:rFonts w:ascii="Arial" w:hAnsi="Arial" w:cs="Arial"/>
          <w:b/>
        </w:rPr>
        <w:lastRenderedPageBreak/>
        <w:t xml:space="preserve">Appendix A – </w:t>
      </w:r>
      <w:r w:rsidR="005313B4" w:rsidRPr="00F5658D">
        <w:rPr>
          <w:rFonts w:ascii="Arial" w:hAnsi="Arial" w:cs="Arial"/>
          <w:b/>
        </w:rPr>
        <w:t xml:space="preserve">Arlingclose </w:t>
      </w:r>
      <w:r w:rsidR="00753DAA" w:rsidRPr="00F5658D">
        <w:rPr>
          <w:rFonts w:ascii="Arial" w:hAnsi="Arial" w:cs="Arial"/>
          <w:b/>
        </w:rPr>
        <w:t xml:space="preserve">Economic &amp; Interest Rate Forecast </w:t>
      </w:r>
      <w:r w:rsidR="00A0283A" w:rsidRPr="00F5658D">
        <w:rPr>
          <w:rFonts w:ascii="Arial" w:hAnsi="Arial" w:cs="Arial"/>
          <w:b/>
        </w:rPr>
        <w:t>November</w:t>
      </w:r>
      <w:r w:rsidR="00654FF7" w:rsidRPr="00F5658D">
        <w:rPr>
          <w:rFonts w:ascii="Arial" w:hAnsi="Arial" w:cs="Arial"/>
          <w:b/>
        </w:rPr>
        <w:t xml:space="preserve"> 2015</w:t>
      </w:r>
      <w:r w:rsidR="006A07C6" w:rsidRPr="00F5658D">
        <w:rPr>
          <w:rFonts w:ascii="Arial" w:hAnsi="Arial" w:cs="Arial"/>
          <w:b/>
        </w:rPr>
        <w:t xml:space="preserve"> </w:t>
      </w:r>
    </w:p>
    <w:p w:rsidR="00CF2277" w:rsidRPr="00F5658D" w:rsidRDefault="00CF2277" w:rsidP="00CF2277">
      <w:pPr>
        <w:pStyle w:val="ListParagraph"/>
        <w:ind w:left="0"/>
        <w:jc w:val="both"/>
        <w:rPr>
          <w:rFonts w:ascii="Arial" w:hAnsi="Arial" w:cs="Arial"/>
          <w:b/>
        </w:rPr>
      </w:pPr>
      <w:r w:rsidRPr="001C18CF">
        <w:rPr>
          <w:rFonts w:ascii="Arial" w:hAnsi="Arial" w:cs="Arial"/>
          <w:b/>
        </w:rPr>
        <w:t>Underlying assumptions:</w:t>
      </w:r>
      <w:r w:rsidRPr="00F5658D">
        <w:rPr>
          <w:rFonts w:ascii="Arial" w:hAnsi="Arial" w:cs="Arial"/>
          <w:b/>
        </w:rPr>
        <w:t xml:space="preserve"> </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UK economic growth softened in Q3 2015 but remained reasonably robust; the first estimate for the quarter was 0.5% and year-on-year growth fell slightly to 2.3%. Negative construction output growth offset fairly strong services output, however survey estimates suggest upwards revisions to construction may be in the pipeline.</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Household spending has been the main driver of GDP growth through 2014 and 2015 and remains key to growth. Consumption will continue to be supported by real wage and disposable income growth.</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Annual average earnings growth was 3.0% (including bonuses) in the three months to August. Given low inflation, real earnings and income growth continue to run at relatively strong levels and could feed directly into unit labour costs and households' disposable income. Improving productivity growth should support pay growth in the medium term. The development of wage growth is one of the factors being closely monitored by the MPC.</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Business investment indicators continue to signal strong growth. However the outlook for business investment may be tempered by the looming EU referendum, increasing uncertainties surrounding global growth and recent financial market shocks.</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 xml:space="preserve">Inflation is currently very low and, with a further fall in commodity prices, will likely remain so over the next 12 months. The CPI rate is likely to rise towards the end of 2016. </w:t>
      </w:r>
    </w:p>
    <w:p w:rsidR="00120AD2" w:rsidRPr="00F5658D" w:rsidRDefault="00960E53" w:rsidP="00960E53">
      <w:pPr>
        <w:pStyle w:val="ListParagraph"/>
        <w:numPr>
          <w:ilvl w:val="0"/>
          <w:numId w:val="20"/>
        </w:numPr>
        <w:rPr>
          <w:rFonts w:ascii="Arial" w:hAnsi="Arial" w:cs="Arial"/>
          <w:bCs/>
        </w:rPr>
      </w:pPr>
      <w:r w:rsidRPr="00F5658D">
        <w:rPr>
          <w:rFonts w:ascii="Arial" w:hAnsi="Arial" w:cs="Arial"/>
          <w:bCs/>
        </w:rPr>
        <w:t>China's growth has slowed and its economy is performing below expectations, which in turn will dampen activity in countries with which it has close economic ties; its slowdown and emerging market weakness will reduce demand for commodities. Other possible currency interventions following China's recent devaluation will keep sterling strong against many global currencies and depress imported inflation.</w:t>
      </w:r>
    </w:p>
    <w:p w:rsidR="00960E53" w:rsidRPr="00F5658D" w:rsidRDefault="00960E53" w:rsidP="000E52D7">
      <w:pPr>
        <w:pStyle w:val="ListParagraph"/>
        <w:numPr>
          <w:ilvl w:val="0"/>
          <w:numId w:val="20"/>
        </w:numPr>
        <w:rPr>
          <w:rFonts w:ascii="Arial" w:hAnsi="Arial" w:cs="Arial"/>
          <w:bCs/>
        </w:rPr>
      </w:pPr>
      <w:r w:rsidRPr="00F5658D">
        <w:rPr>
          <w:rFonts w:ascii="Arial" w:hAnsi="Arial" w:cs="Arial"/>
          <w:bCs/>
        </w:rPr>
        <w:t xml:space="preserve">Strong US labour market data and other economic indicators suggest recent global turbulence has not knocked the American recovery off course. Although the timing of the first rise in official interest rates remains uncertain, a rate rise by the Federal Reserve seems significantly </w:t>
      </w:r>
      <w:r w:rsidR="00903ABA" w:rsidRPr="00F5658D">
        <w:rPr>
          <w:rFonts w:ascii="Arial" w:hAnsi="Arial" w:cs="Arial"/>
          <w:bCs/>
        </w:rPr>
        <w:t xml:space="preserve">more </w:t>
      </w:r>
      <w:r w:rsidRPr="00F5658D">
        <w:rPr>
          <w:rFonts w:ascii="Arial" w:hAnsi="Arial" w:cs="Arial"/>
          <w:bCs/>
        </w:rPr>
        <w:t>likely in December given recent data and rhetoric by committee members.</w:t>
      </w:r>
    </w:p>
    <w:p w:rsidR="005B6EA9" w:rsidRPr="00F5658D" w:rsidRDefault="00960E53" w:rsidP="000E52D7">
      <w:pPr>
        <w:pStyle w:val="ListParagraph"/>
        <w:numPr>
          <w:ilvl w:val="0"/>
          <w:numId w:val="20"/>
        </w:numPr>
        <w:rPr>
          <w:rFonts w:ascii="Arial" w:hAnsi="Arial" w:cs="Arial"/>
          <w:bCs/>
        </w:rPr>
      </w:pPr>
      <w:r w:rsidRPr="00F5658D">
        <w:rPr>
          <w:rFonts w:ascii="Arial" w:hAnsi="Arial" w:cs="Arial"/>
          <w:bCs/>
        </w:rPr>
        <w:t>Longer term rates will be tempered by international uncertainties and weaker global inflation pressure</w:t>
      </w:r>
      <w:r w:rsidR="00903ABA" w:rsidRPr="00F5658D">
        <w:rPr>
          <w:rFonts w:ascii="Arial" w:hAnsi="Arial" w:cs="Arial"/>
          <w:bCs/>
        </w:rPr>
        <w:t>.</w:t>
      </w:r>
    </w:p>
    <w:p w:rsidR="00960E53" w:rsidRPr="00F5658D" w:rsidRDefault="00960E53" w:rsidP="00CF2277">
      <w:pPr>
        <w:pStyle w:val="ListParagraph"/>
        <w:ind w:left="0"/>
        <w:contextualSpacing w:val="0"/>
        <w:jc w:val="both"/>
        <w:rPr>
          <w:rFonts w:ascii="Arial" w:hAnsi="Arial" w:cs="Arial"/>
          <w:b/>
          <w:highlight w:val="yellow"/>
        </w:rPr>
      </w:pPr>
    </w:p>
    <w:p w:rsidR="00046E24" w:rsidRPr="00F5658D" w:rsidRDefault="00CF2277" w:rsidP="00CF2277">
      <w:pPr>
        <w:pStyle w:val="ListParagraph"/>
        <w:ind w:left="0"/>
        <w:contextualSpacing w:val="0"/>
        <w:jc w:val="both"/>
        <w:rPr>
          <w:rFonts w:ascii="Arial" w:hAnsi="Arial" w:cs="Arial"/>
        </w:rPr>
      </w:pPr>
      <w:r w:rsidRPr="001C18CF">
        <w:rPr>
          <w:rFonts w:ascii="Arial" w:hAnsi="Arial" w:cs="Arial"/>
          <w:b/>
        </w:rPr>
        <w:t>Forecast:</w:t>
      </w:r>
      <w:r w:rsidR="00C82115" w:rsidRPr="001C18CF">
        <w:rPr>
          <w:rFonts w:ascii="Arial" w:hAnsi="Arial" w:cs="Arial"/>
        </w:rPr>
        <w:t xml:space="preserve"> </w:t>
      </w:r>
    </w:p>
    <w:p w:rsidR="00120AD2" w:rsidRPr="00F5658D" w:rsidRDefault="00960E53" w:rsidP="00960E53">
      <w:pPr>
        <w:pStyle w:val="ListParagraph"/>
        <w:numPr>
          <w:ilvl w:val="0"/>
          <w:numId w:val="21"/>
        </w:numPr>
        <w:contextualSpacing w:val="0"/>
        <w:rPr>
          <w:rFonts w:ascii="Arial" w:hAnsi="Arial" w:cs="Arial"/>
          <w:bCs/>
        </w:rPr>
      </w:pPr>
      <w:r w:rsidRPr="00F5658D">
        <w:rPr>
          <w:rFonts w:ascii="Arial" w:hAnsi="Arial" w:cs="Arial"/>
          <w:bCs/>
        </w:rPr>
        <w:t xml:space="preserve">Arlingclose forecasts the first rise in </w:t>
      </w:r>
      <w:r w:rsidR="00903ABA" w:rsidRPr="00F5658D">
        <w:rPr>
          <w:rFonts w:ascii="Arial" w:hAnsi="Arial" w:cs="Arial"/>
          <w:bCs/>
        </w:rPr>
        <w:t xml:space="preserve">UK </w:t>
      </w:r>
      <w:r w:rsidRPr="00F5658D">
        <w:rPr>
          <w:rFonts w:ascii="Arial" w:hAnsi="Arial" w:cs="Arial"/>
          <w:bCs/>
        </w:rPr>
        <w:t>Bank Rate in Q3 2016. Further weakness in inflation</w:t>
      </w:r>
      <w:r w:rsidR="00903ABA" w:rsidRPr="00F5658D">
        <w:rPr>
          <w:rFonts w:ascii="Arial" w:hAnsi="Arial" w:cs="Arial"/>
          <w:bCs/>
        </w:rPr>
        <w:t>,</w:t>
      </w:r>
      <w:r w:rsidRPr="00F5658D">
        <w:rPr>
          <w:rFonts w:ascii="Arial" w:hAnsi="Arial" w:cs="Arial"/>
          <w:bCs/>
        </w:rPr>
        <w:t xml:space="preserve"> and the MPC's expectations for its </w:t>
      </w:r>
      <w:r w:rsidR="00962A72" w:rsidRPr="00F5658D">
        <w:rPr>
          <w:rFonts w:ascii="Arial" w:hAnsi="Arial" w:cs="Arial"/>
          <w:bCs/>
        </w:rPr>
        <w:t>path;</w:t>
      </w:r>
      <w:r w:rsidRPr="00F5658D">
        <w:rPr>
          <w:rFonts w:ascii="Arial" w:hAnsi="Arial" w:cs="Arial"/>
          <w:bCs/>
        </w:rPr>
        <w:t xml:space="preserve"> suggest policy tightening will be pushed back into the second half of the year. Risks remain weighted to the downside. Arlingclose projects a slow rise in Bank Rate, the appropriate level of which will be lower than the previous norm and will be between 2 and 3%.</w:t>
      </w:r>
    </w:p>
    <w:p w:rsidR="00120AD2" w:rsidRPr="00F5658D" w:rsidRDefault="00960E53" w:rsidP="00960E53">
      <w:pPr>
        <w:pStyle w:val="ListParagraph"/>
        <w:numPr>
          <w:ilvl w:val="0"/>
          <w:numId w:val="21"/>
        </w:numPr>
        <w:contextualSpacing w:val="0"/>
        <w:rPr>
          <w:rFonts w:ascii="Arial" w:hAnsi="Arial" w:cs="Arial"/>
          <w:bCs/>
        </w:rPr>
      </w:pPr>
      <w:r w:rsidRPr="00F5658D">
        <w:rPr>
          <w:rFonts w:ascii="Arial" w:hAnsi="Arial" w:cs="Arial"/>
          <w:bCs/>
        </w:rPr>
        <w:t xml:space="preserve">The projection is for a shallow upward </w:t>
      </w:r>
      <w:r w:rsidR="0084341B" w:rsidRPr="00F5658D">
        <w:rPr>
          <w:rFonts w:ascii="Arial" w:hAnsi="Arial" w:cs="Arial"/>
          <w:bCs/>
        </w:rPr>
        <w:t>path for medium term gilt yields</w:t>
      </w:r>
      <w:r w:rsidRPr="00F5658D">
        <w:rPr>
          <w:rFonts w:ascii="Arial" w:hAnsi="Arial" w:cs="Arial"/>
          <w:bCs/>
        </w:rPr>
        <w:t>, with continuing concerns about the Eurozone, emerging markets and other geo-political events, weighing on risk appetite, while inflation expectations remain subdued.</w:t>
      </w:r>
    </w:p>
    <w:p w:rsidR="00120AD2" w:rsidRPr="00F5658D" w:rsidRDefault="00960E53" w:rsidP="00960E53">
      <w:pPr>
        <w:pStyle w:val="ListParagraph"/>
        <w:numPr>
          <w:ilvl w:val="0"/>
          <w:numId w:val="21"/>
        </w:numPr>
        <w:contextualSpacing w:val="0"/>
        <w:rPr>
          <w:rFonts w:ascii="Arial" w:hAnsi="Arial" w:cs="Arial"/>
          <w:bCs/>
        </w:rPr>
      </w:pPr>
      <w:r w:rsidRPr="00F5658D">
        <w:rPr>
          <w:rFonts w:ascii="Arial" w:hAnsi="Arial" w:cs="Arial"/>
          <w:bCs/>
        </w:rPr>
        <w:lastRenderedPageBreak/>
        <w:t xml:space="preserve">The uncertainties surrounding the timing of UK and US monetary policy tightening, and global growth weakness, are likely to prompt short term volatility in gilt yields. </w:t>
      </w:r>
    </w:p>
    <w:p w:rsidR="00510777" w:rsidRPr="00F5658D" w:rsidRDefault="00510777" w:rsidP="00510777">
      <w:pPr>
        <w:pStyle w:val="ListParagraph"/>
        <w:ind w:left="0"/>
        <w:contextualSpacing w:val="0"/>
        <w:jc w:val="both"/>
        <w:rPr>
          <w:rFonts w:ascii="Arial" w:hAnsi="Arial" w:cs="Arial"/>
        </w:rPr>
      </w:pPr>
    </w:p>
    <w:p w:rsidR="00CF2277" w:rsidRPr="00F5658D" w:rsidRDefault="00B93830" w:rsidP="00CF2277">
      <w:pPr>
        <w:pStyle w:val="ListParagraph"/>
        <w:ind w:left="0"/>
        <w:contextualSpacing w:val="0"/>
        <w:jc w:val="both"/>
        <w:rPr>
          <w:rFonts w:ascii="Arial" w:hAnsi="Arial" w:cs="Arial"/>
        </w:rPr>
      </w:pPr>
      <w:r>
        <w:rPr>
          <w:rFonts w:ascii="Arial" w:hAnsi="Arial" w:cs="Arial"/>
          <w:noProof/>
          <w:lang w:eastAsia="en-GB"/>
        </w:rPr>
        <w:drawing>
          <wp:inline distT="0" distB="0" distL="0" distR="0">
            <wp:extent cx="5920740" cy="3649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0740" cy="3649980"/>
                    </a:xfrm>
                    <a:prstGeom prst="rect">
                      <a:avLst/>
                    </a:prstGeom>
                    <a:noFill/>
                    <a:ln>
                      <a:noFill/>
                    </a:ln>
                  </pic:spPr>
                </pic:pic>
              </a:graphicData>
            </a:graphic>
          </wp:inline>
        </w:drawing>
      </w:r>
    </w:p>
    <w:p w:rsidR="00510777" w:rsidRPr="00F5658D" w:rsidRDefault="00510777" w:rsidP="00CF2277">
      <w:pPr>
        <w:pStyle w:val="ListParagraph"/>
        <w:ind w:left="0"/>
        <w:contextualSpacing w:val="0"/>
        <w:jc w:val="both"/>
        <w:rPr>
          <w:rFonts w:ascii="Arial" w:hAnsi="Arial" w:cs="Arial"/>
        </w:rPr>
      </w:pPr>
    </w:p>
    <w:p w:rsidR="00F144F1" w:rsidRPr="00F5658D" w:rsidRDefault="00753DAA" w:rsidP="00CF2277">
      <w:pPr>
        <w:pStyle w:val="ListParagraph"/>
        <w:ind w:left="0"/>
        <w:contextualSpacing w:val="0"/>
        <w:jc w:val="both"/>
        <w:rPr>
          <w:rFonts w:ascii="Arial" w:hAnsi="Arial" w:cs="Arial"/>
          <w:b/>
        </w:rPr>
      </w:pPr>
      <w:r w:rsidRPr="00F5658D">
        <w:rPr>
          <w:rFonts w:ascii="Arial" w:hAnsi="Arial" w:cs="Arial"/>
        </w:rPr>
        <w:br w:type="page"/>
      </w:r>
      <w:r w:rsidR="00F144F1" w:rsidRPr="00F5658D">
        <w:rPr>
          <w:rFonts w:ascii="Arial" w:hAnsi="Arial" w:cs="Arial"/>
          <w:b/>
        </w:rPr>
        <w:lastRenderedPageBreak/>
        <w:t xml:space="preserve">Appendix </w:t>
      </w:r>
      <w:r w:rsidRPr="00F5658D">
        <w:rPr>
          <w:rFonts w:ascii="Arial" w:hAnsi="Arial" w:cs="Arial"/>
          <w:b/>
        </w:rPr>
        <w:t>B</w:t>
      </w:r>
      <w:r w:rsidR="00F144F1" w:rsidRPr="00F5658D">
        <w:rPr>
          <w:rFonts w:ascii="Arial" w:hAnsi="Arial" w:cs="Arial"/>
          <w:b/>
        </w:rPr>
        <w:t xml:space="preserve"> – Existing Inves</w:t>
      </w:r>
      <w:r w:rsidR="00243E06" w:rsidRPr="00F5658D">
        <w:rPr>
          <w:rFonts w:ascii="Arial" w:hAnsi="Arial" w:cs="Arial"/>
          <w:b/>
        </w:rPr>
        <w:t>tment &amp; Debt Portfolio Position</w:t>
      </w:r>
    </w:p>
    <w:p w:rsidR="00F144F1" w:rsidRPr="00F5658D" w:rsidRDefault="00F144F1" w:rsidP="009F23E2">
      <w:pPr>
        <w:pStyle w:val="ListParagraph"/>
        <w:ind w:left="0"/>
        <w:contextualSpacing w:val="0"/>
        <w:jc w:val="both"/>
        <w:rPr>
          <w:rFonts w:ascii="Arial" w:hAnsi="Arial" w:cs="Arial"/>
          <w:b/>
        </w:rPr>
      </w:pPr>
    </w:p>
    <w:tbl>
      <w:tblPr>
        <w:tblW w:w="0" w:type="auto"/>
        <w:tblInd w:w="1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44"/>
        <w:gridCol w:w="2410"/>
        <w:gridCol w:w="2046"/>
      </w:tblGrid>
      <w:tr w:rsidR="001979A1" w:rsidRPr="00B519F3" w:rsidTr="00B519F3">
        <w:tc>
          <w:tcPr>
            <w:tcW w:w="3544" w:type="dxa"/>
            <w:shd w:val="clear" w:color="auto" w:fill="auto"/>
          </w:tcPr>
          <w:p w:rsidR="001979A1" w:rsidRPr="00B519F3" w:rsidRDefault="001979A1" w:rsidP="00B519F3">
            <w:pPr>
              <w:spacing w:after="0" w:line="240" w:lineRule="auto"/>
              <w:rPr>
                <w:b/>
              </w:rPr>
            </w:pPr>
          </w:p>
        </w:tc>
        <w:tc>
          <w:tcPr>
            <w:tcW w:w="2410" w:type="dxa"/>
            <w:shd w:val="clear" w:color="auto" w:fill="auto"/>
          </w:tcPr>
          <w:p w:rsidR="001979A1" w:rsidRPr="00B519F3" w:rsidRDefault="001979A1" w:rsidP="00B519F3">
            <w:pPr>
              <w:spacing w:after="0" w:line="240" w:lineRule="auto"/>
              <w:jc w:val="center"/>
              <w:rPr>
                <w:rFonts w:ascii="Arial" w:hAnsi="Arial" w:cs="Arial"/>
              </w:rPr>
            </w:pPr>
            <w:r w:rsidRPr="00B519F3">
              <w:rPr>
                <w:rFonts w:ascii="Arial" w:hAnsi="Arial" w:cs="Arial"/>
              </w:rPr>
              <w:t>31 January 2016</w:t>
            </w:r>
          </w:p>
          <w:p w:rsidR="001979A1" w:rsidRPr="00B519F3" w:rsidRDefault="001979A1" w:rsidP="00B519F3">
            <w:pPr>
              <w:spacing w:after="0" w:line="240" w:lineRule="auto"/>
              <w:jc w:val="center"/>
              <w:rPr>
                <w:b/>
              </w:rPr>
            </w:pPr>
          </w:p>
          <w:p w:rsidR="001979A1" w:rsidRPr="00B519F3" w:rsidRDefault="001979A1" w:rsidP="00B519F3">
            <w:pPr>
              <w:spacing w:after="0" w:line="240" w:lineRule="auto"/>
              <w:jc w:val="center"/>
              <w:rPr>
                <w:b/>
              </w:rPr>
            </w:pPr>
            <w:r w:rsidRPr="00B519F3">
              <w:rPr>
                <w:b/>
              </w:rPr>
              <w:t>Actual Portfolio</w:t>
            </w:r>
          </w:p>
          <w:p w:rsidR="001979A1" w:rsidRPr="00B519F3" w:rsidRDefault="001979A1" w:rsidP="00B519F3">
            <w:pPr>
              <w:spacing w:after="0" w:line="240" w:lineRule="auto"/>
              <w:jc w:val="center"/>
              <w:rPr>
                <w:b/>
              </w:rPr>
            </w:pPr>
          </w:p>
          <w:p w:rsidR="001979A1" w:rsidRPr="00B519F3" w:rsidRDefault="001979A1" w:rsidP="00B519F3">
            <w:pPr>
              <w:spacing w:after="0" w:line="240" w:lineRule="auto"/>
              <w:jc w:val="center"/>
              <w:rPr>
                <w:b/>
              </w:rPr>
            </w:pPr>
            <w:r w:rsidRPr="00B519F3">
              <w:rPr>
                <w:b/>
              </w:rPr>
              <w:t>£m</w:t>
            </w:r>
          </w:p>
        </w:tc>
        <w:tc>
          <w:tcPr>
            <w:tcW w:w="2046" w:type="dxa"/>
            <w:shd w:val="clear" w:color="auto" w:fill="auto"/>
          </w:tcPr>
          <w:p w:rsidR="001979A1" w:rsidRPr="00B519F3" w:rsidRDefault="001979A1" w:rsidP="00B519F3">
            <w:pPr>
              <w:spacing w:after="0" w:line="240" w:lineRule="auto"/>
              <w:jc w:val="center"/>
              <w:rPr>
                <w:rFonts w:ascii="Arial" w:hAnsi="Arial" w:cs="Arial"/>
              </w:rPr>
            </w:pPr>
            <w:r w:rsidRPr="00B519F3">
              <w:rPr>
                <w:rFonts w:ascii="Arial" w:hAnsi="Arial" w:cs="Arial"/>
              </w:rPr>
              <w:t>31 January 2016</w:t>
            </w:r>
          </w:p>
          <w:p w:rsidR="001979A1" w:rsidRPr="00B519F3" w:rsidRDefault="001979A1" w:rsidP="00B519F3">
            <w:pPr>
              <w:spacing w:after="0" w:line="240" w:lineRule="auto"/>
              <w:jc w:val="center"/>
              <w:rPr>
                <w:b/>
              </w:rPr>
            </w:pPr>
          </w:p>
          <w:p w:rsidR="001979A1" w:rsidRPr="00B519F3" w:rsidRDefault="001979A1" w:rsidP="00B519F3">
            <w:pPr>
              <w:spacing w:after="0" w:line="240" w:lineRule="auto"/>
              <w:jc w:val="center"/>
              <w:rPr>
                <w:b/>
              </w:rPr>
            </w:pPr>
            <w:r w:rsidRPr="00B519F3">
              <w:rPr>
                <w:b/>
              </w:rPr>
              <w:t>Average Rate</w:t>
            </w:r>
          </w:p>
          <w:p w:rsidR="001979A1" w:rsidRPr="00B519F3" w:rsidRDefault="001979A1" w:rsidP="00B519F3">
            <w:pPr>
              <w:spacing w:after="0" w:line="240" w:lineRule="auto"/>
              <w:jc w:val="center"/>
              <w:rPr>
                <w:b/>
              </w:rPr>
            </w:pPr>
          </w:p>
          <w:p w:rsidR="001979A1" w:rsidRPr="00B519F3" w:rsidRDefault="001979A1" w:rsidP="00B519F3">
            <w:pPr>
              <w:spacing w:after="0" w:line="240" w:lineRule="auto"/>
              <w:jc w:val="center"/>
              <w:rPr>
                <w:b/>
              </w:rPr>
            </w:pPr>
            <w:r w:rsidRPr="00B519F3">
              <w:rPr>
                <w:b/>
              </w:rPr>
              <w:t>%</w:t>
            </w:r>
          </w:p>
        </w:tc>
      </w:tr>
      <w:tr w:rsidR="001979A1" w:rsidRPr="00434E47" w:rsidTr="00B519F3">
        <w:tc>
          <w:tcPr>
            <w:tcW w:w="3544" w:type="dxa"/>
            <w:shd w:val="clear" w:color="auto" w:fill="auto"/>
          </w:tcPr>
          <w:p w:rsidR="001979A1" w:rsidRPr="00434E47" w:rsidRDefault="001979A1" w:rsidP="00B519F3">
            <w:pPr>
              <w:spacing w:after="0" w:line="360" w:lineRule="auto"/>
              <w:rPr>
                <w:rFonts w:ascii="Arial" w:hAnsi="Arial" w:cs="Arial"/>
                <w:b/>
              </w:rPr>
            </w:pPr>
            <w:r w:rsidRPr="00434E47">
              <w:rPr>
                <w:rFonts w:ascii="Arial" w:hAnsi="Arial" w:cs="Arial"/>
                <w:b/>
              </w:rPr>
              <w:t>External Borrowing:</w:t>
            </w:r>
          </w:p>
          <w:p w:rsidR="001979A1" w:rsidRPr="00434E47" w:rsidRDefault="001979A1" w:rsidP="00B519F3">
            <w:pPr>
              <w:spacing w:after="0" w:line="360" w:lineRule="auto"/>
              <w:rPr>
                <w:rFonts w:ascii="Arial" w:hAnsi="Arial" w:cs="Arial"/>
              </w:rPr>
            </w:pPr>
          </w:p>
          <w:p w:rsidR="001979A1" w:rsidRPr="00434E47" w:rsidRDefault="001979A1" w:rsidP="00B519F3">
            <w:pPr>
              <w:spacing w:after="0" w:line="360" w:lineRule="auto"/>
              <w:rPr>
                <w:rFonts w:ascii="Arial" w:hAnsi="Arial" w:cs="Arial"/>
              </w:rPr>
            </w:pPr>
            <w:r w:rsidRPr="00434E47">
              <w:rPr>
                <w:rFonts w:ascii="Arial" w:hAnsi="Arial" w:cs="Arial"/>
              </w:rPr>
              <w:t>Government – Fixed Rate</w:t>
            </w:r>
          </w:p>
          <w:p w:rsidR="001979A1" w:rsidRPr="00434E47" w:rsidRDefault="001979A1" w:rsidP="00B519F3">
            <w:pPr>
              <w:spacing w:after="0" w:line="360" w:lineRule="auto"/>
              <w:rPr>
                <w:rFonts w:ascii="Arial" w:hAnsi="Arial" w:cs="Arial"/>
              </w:rPr>
            </w:pPr>
            <w:r w:rsidRPr="00434E47">
              <w:rPr>
                <w:rFonts w:ascii="Arial" w:hAnsi="Arial" w:cs="Arial"/>
              </w:rPr>
              <w:t>Government – Variable Rate</w:t>
            </w:r>
          </w:p>
          <w:p w:rsidR="001979A1" w:rsidRPr="00434E47" w:rsidRDefault="001979A1" w:rsidP="00B519F3">
            <w:pPr>
              <w:spacing w:after="0" w:line="360" w:lineRule="auto"/>
              <w:rPr>
                <w:rFonts w:ascii="Arial" w:hAnsi="Arial" w:cs="Arial"/>
                <w:b/>
              </w:rPr>
            </w:pPr>
          </w:p>
        </w:tc>
        <w:tc>
          <w:tcPr>
            <w:tcW w:w="2410" w:type="dxa"/>
            <w:shd w:val="clear" w:color="auto" w:fill="auto"/>
          </w:tcPr>
          <w:p w:rsidR="001979A1" w:rsidRPr="00434E47" w:rsidRDefault="001979A1" w:rsidP="00B519F3">
            <w:pPr>
              <w:spacing w:after="0" w:line="360" w:lineRule="auto"/>
              <w:jc w:val="center"/>
              <w:rPr>
                <w:rFonts w:ascii="Arial" w:hAnsi="Arial" w:cs="Arial"/>
              </w:rPr>
            </w:pPr>
          </w:p>
          <w:p w:rsidR="001979A1" w:rsidRPr="00434E47" w:rsidRDefault="001979A1" w:rsidP="00B519F3">
            <w:pPr>
              <w:spacing w:after="0" w:line="360" w:lineRule="auto"/>
              <w:jc w:val="center"/>
              <w:rPr>
                <w:rFonts w:ascii="Arial" w:hAnsi="Arial" w:cs="Arial"/>
              </w:rPr>
            </w:pPr>
          </w:p>
          <w:p w:rsidR="001979A1" w:rsidRPr="00434E47" w:rsidRDefault="001979A1" w:rsidP="00B519F3">
            <w:pPr>
              <w:spacing w:after="0" w:line="360" w:lineRule="auto"/>
              <w:jc w:val="center"/>
              <w:rPr>
                <w:rFonts w:ascii="Arial" w:hAnsi="Arial" w:cs="Arial"/>
              </w:rPr>
            </w:pPr>
            <w:r w:rsidRPr="00434E47">
              <w:rPr>
                <w:rFonts w:ascii="Arial" w:hAnsi="Arial" w:cs="Arial"/>
              </w:rPr>
              <w:t>52.0</w:t>
            </w:r>
          </w:p>
          <w:p w:rsidR="001979A1" w:rsidRPr="00434E47" w:rsidRDefault="00434E47" w:rsidP="00B519F3">
            <w:pPr>
              <w:spacing w:after="0" w:line="360" w:lineRule="auto"/>
              <w:jc w:val="center"/>
              <w:rPr>
                <w:rFonts w:ascii="Arial" w:hAnsi="Arial" w:cs="Arial"/>
              </w:rPr>
            </w:pPr>
            <w:r w:rsidRPr="00434E47">
              <w:rPr>
                <w:rFonts w:ascii="Arial" w:hAnsi="Arial" w:cs="Arial"/>
              </w:rPr>
              <w:t>0.0</w:t>
            </w:r>
          </w:p>
          <w:p w:rsidR="001979A1" w:rsidRPr="00434E47" w:rsidRDefault="001979A1" w:rsidP="00B519F3">
            <w:pPr>
              <w:spacing w:after="0" w:line="360" w:lineRule="auto"/>
              <w:jc w:val="center"/>
              <w:rPr>
                <w:rFonts w:ascii="Arial" w:hAnsi="Arial" w:cs="Arial"/>
              </w:rPr>
            </w:pPr>
          </w:p>
        </w:tc>
        <w:tc>
          <w:tcPr>
            <w:tcW w:w="2046" w:type="dxa"/>
            <w:shd w:val="clear" w:color="auto" w:fill="auto"/>
          </w:tcPr>
          <w:p w:rsidR="001979A1" w:rsidRPr="00434E47" w:rsidRDefault="001979A1" w:rsidP="00B519F3">
            <w:pPr>
              <w:spacing w:after="0" w:line="360" w:lineRule="auto"/>
              <w:jc w:val="center"/>
              <w:rPr>
                <w:rFonts w:ascii="Arial" w:hAnsi="Arial" w:cs="Arial"/>
              </w:rPr>
            </w:pPr>
          </w:p>
          <w:p w:rsidR="001979A1" w:rsidRPr="00434E47" w:rsidRDefault="001979A1" w:rsidP="00B519F3">
            <w:pPr>
              <w:spacing w:after="0" w:line="360" w:lineRule="auto"/>
              <w:jc w:val="center"/>
              <w:rPr>
                <w:rFonts w:ascii="Arial" w:hAnsi="Arial" w:cs="Arial"/>
              </w:rPr>
            </w:pPr>
          </w:p>
          <w:p w:rsidR="001979A1" w:rsidRPr="00434E47" w:rsidRDefault="001979A1" w:rsidP="00B519F3">
            <w:pPr>
              <w:spacing w:after="0" w:line="360" w:lineRule="auto"/>
              <w:jc w:val="center"/>
              <w:rPr>
                <w:rFonts w:ascii="Arial" w:hAnsi="Arial" w:cs="Arial"/>
              </w:rPr>
            </w:pPr>
            <w:r w:rsidRPr="00434E47">
              <w:rPr>
                <w:rFonts w:ascii="Arial" w:hAnsi="Arial" w:cs="Arial"/>
              </w:rPr>
              <w:t>3.97</w:t>
            </w:r>
          </w:p>
          <w:p w:rsidR="001979A1" w:rsidRPr="00434E47" w:rsidRDefault="001979A1" w:rsidP="00B519F3">
            <w:pPr>
              <w:spacing w:after="0" w:line="360" w:lineRule="auto"/>
              <w:jc w:val="center"/>
              <w:rPr>
                <w:rFonts w:ascii="Arial" w:hAnsi="Arial" w:cs="Arial"/>
              </w:rPr>
            </w:pPr>
            <w:r w:rsidRPr="00434E47">
              <w:rPr>
                <w:rFonts w:ascii="Arial" w:hAnsi="Arial" w:cs="Arial"/>
              </w:rPr>
              <w:t>0.00</w:t>
            </w:r>
          </w:p>
          <w:p w:rsidR="001979A1" w:rsidRPr="00434E47" w:rsidRDefault="001979A1" w:rsidP="00B519F3">
            <w:pPr>
              <w:spacing w:after="0" w:line="360" w:lineRule="auto"/>
              <w:jc w:val="center"/>
              <w:rPr>
                <w:rFonts w:ascii="Arial" w:hAnsi="Arial" w:cs="Arial"/>
              </w:rPr>
            </w:pPr>
          </w:p>
        </w:tc>
      </w:tr>
      <w:tr w:rsidR="001979A1" w:rsidRPr="00434E47" w:rsidTr="00B519F3">
        <w:tc>
          <w:tcPr>
            <w:tcW w:w="3544" w:type="dxa"/>
            <w:shd w:val="clear" w:color="auto" w:fill="auto"/>
          </w:tcPr>
          <w:p w:rsidR="001979A1" w:rsidRPr="00434E47" w:rsidRDefault="001979A1" w:rsidP="00B519F3">
            <w:pPr>
              <w:spacing w:after="0" w:line="360" w:lineRule="auto"/>
              <w:rPr>
                <w:rFonts w:ascii="Arial" w:hAnsi="Arial" w:cs="Arial"/>
                <w:b/>
              </w:rPr>
            </w:pPr>
            <w:r w:rsidRPr="00434E47">
              <w:rPr>
                <w:rFonts w:ascii="Arial" w:hAnsi="Arial" w:cs="Arial"/>
                <w:b/>
              </w:rPr>
              <w:t>Total Gross External Debt</w:t>
            </w:r>
          </w:p>
        </w:tc>
        <w:tc>
          <w:tcPr>
            <w:tcW w:w="2410" w:type="dxa"/>
            <w:shd w:val="clear" w:color="auto" w:fill="auto"/>
          </w:tcPr>
          <w:p w:rsidR="001979A1" w:rsidRPr="00434E47" w:rsidRDefault="00434E47" w:rsidP="00434E47">
            <w:pPr>
              <w:spacing w:after="0" w:line="360" w:lineRule="auto"/>
              <w:jc w:val="center"/>
              <w:rPr>
                <w:rFonts w:ascii="Arial" w:hAnsi="Arial" w:cs="Arial"/>
                <w:b/>
              </w:rPr>
            </w:pPr>
            <w:r>
              <w:rPr>
                <w:rFonts w:ascii="Arial" w:hAnsi="Arial" w:cs="Arial"/>
                <w:b/>
              </w:rPr>
              <w:t>52.0</w:t>
            </w:r>
          </w:p>
        </w:tc>
        <w:tc>
          <w:tcPr>
            <w:tcW w:w="2046" w:type="dxa"/>
            <w:shd w:val="clear" w:color="auto" w:fill="auto"/>
          </w:tcPr>
          <w:p w:rsidR="001979A1" w:rsidRPr="00434E47" w:rsidRDefault="00434E47" w:rsidP="00434E47">
            <w:pPr>
              <w:spacing w:after="0" w:line="360" w:lineRule="auto"/>
              <w:jc w:val="center"/>
              <w:rPr>
                <w:rFonts w:ascii="Arial" w:hAnsi="Arial" w:cs="Arial"/>
                <w:b/>
              </w:rPr>
            </w:pPr>
            <w:r>
              <w:rPr>
                <w:rFonts w:ascii="Arial" w:hAnsi="Arial" w:cs="Arial"/>
                <w:b/>
              </w:rPr>
              <w:t>3.97</w:t>
            </w:r>
          </w:p>
        </w:tc>
      </w:tr>
      <w:tr w:rsidR="001979A1" w:rsidRPr="00434E47" w:rsidTr="00B519F3">
        <w:tc>
          <w:tcPr>
            <w:tcW w:w="3544" w:type="dxa"/>
            <w:shd w:val="clear" w:color="auto" w:fill="auto"/>
          </w:tcPr>
          <w:p w:rsidR="001979A1" w:rsidRPr="00434E47" w:rsidRDefault="001979A1" w:rsidP="00B519F3">
            <w:pPr>
              <w:spacing w:after="0" w:line="360" w:lineRule="auto"/>
              <w:rPr>
                <w:rFonts w:ascii="Arial" w:hAnsi="Arial" w:cs="Arial"/>
              </w:rPr>
            </w:pPr>
            <w:r w:rsidRPr="00E40DE9">
              <w:rPr>
                <w:rFonts w:ascii="Arial" w:hAnsi="Arial" w:cs="Arial"/>
                <w:b/>
              </w:rPr>
              <w:t>Investments</w:t>
            </w:r>
            <w:r w:rsidRPr="00434E47">
              <w:rPr>
                <w:rFonts w:ascii="Arial" w:hAnsi="Arial" w:cs="Arial"/>
              </w:rPr>
              <w:t>:</w:t>
            </w:r>
          </w:p>
          <w:p w:rsidR="001979A1" w:rsidRPr="00E40DE9" w:rsidRDefault="001979A1" w:rsidP="00B519F3">
            <w:pPr>
              <w:spacing w:after="0" w:line="360" w:lineRule="auto"/>
              <w:rPr>
                <w:rFonts w:ascii="Arial" w:hAnsi="Arial" w:cs="Arial"/>
              </w:rPr>
            </w:pPr>
            <w:r w:rsidRPr="00E40DE9">
              <w:rPr>
                <w:rFonts w:ascii="Arial" w:hAnsi="Arial" w:cs="Arial"/>
              </w:rPr>
              <w:t>Monies on Bank Deposit/Call</w:t>
            </w:r>
          </w:p>
        </w:tc>
        <w:tc>
          <w:tcPr>
            <w:tcW w:w="2410" w:type="dxa"/>
            <w:shd w:val="clear" w:color="auto" w:fill="auto"/>
          </w:tcPr>
          <w:p w:rsidR="001979A1" w:rsidRPr="00E40DE9" w:rsidRDefault="001979A1" w:rsidP="00E40DE9">
            <w:pPr>
              <w:spacing w:after="0" w:line="360" w:lineRule="auto"/>
              <w:jc w:val="center"/>
              <w:rPr>
                <w:rFonts w:ascii="Arial" w:hAnsi="Arial" w:cs="Arial"/>
              </w:rPr>
            </w:pPr>
          </w:p>
          <w:p w:rsidR="00E40DE9" w:rsidRPr="00E40DE9" w:rsidRDefault="007378EA" w:rsidP="00E40DE9">
            <w:pPr>
              <w:spacing w:after="0" w:line="360" w:lineRule="auto"/>
              <w:jc w:val="center"/>
              <w:rPr>
                <w:rFonts w:ascii="Arial" w:hAnsi="Arial" w:cs="Arial"/>
              </w:rPr>
            </w:pPr>
            <w:r>
              <w:rPr>
                <w:rFonts w:ascii="Arial" w:hAnsi="Arial" w:cs="Arial"/>
              </w:rPr>
              <w:t>4.5</w:t>
            </w:r>
          </w:p>
          <w:p w:rsidR="00E40DE9" w:rsidRPr="00E40DE9" w:rsidRDefault="00E40DE9" w:rsidP="00E40DE9">
            <w:pPr>
              <w:spacing w:after="0" w:line="360" w:lineRule="auto"/>
              <w:jc w:val="center"/>
              <w:rPr>
                <w:rFonts w:ascii="Arial" w:hAnsi="Arial" w:cs="Arial"/>
              </w:rPr>
            </w:pPr>
          </w:p>
        </w:tc>
        <w:tc>
          <w:tcPr>
            <w:tcW w:w="2046" w:type="dxa"/>
            <w:shd w:val="clear" w:color="auto" w:fill="auto"/>
          </w:tcPr>
          <w:p w:rsidR="001979A1" w:rsidRPr="00E40DE9" w:rsidRDefault="001979A1" w:rsidP="00E40DE9">
            <w:pPr>
              <w:spacing w:after="0" w:line="360" w:lineRule="auto"/>
              <w:jc w:val="center"/>
              <w:rPr>
                <w:rFonts w:ascii="Arial" w:hAnsi="Arial" w:cs="Arial"/>
              </w:rPr>
            </w:pPr>
          </w:p>
          <w:p w:rsidR="00E40DE9" w:rsidRPr="00E40DE9" w:rsidRDefault="00E40DE9" w:rsidP="00E40DE9">
            <w:pPr>
              <w:spacing w:after="0" w:line="360" w:lineRule="auto"/>
              <w:jc w:val="center"/>
              <w:rPr>
                <w:rFonts w:ascii="Arial" w:hAnsi="Arial" w:cs="Arial"/>
              </w:rPr>
            </w:pPr>
            <w:r w:rsidRPr="00E40DE9">
              <w:rPr>
                <w:rFonts w:ascii="Arial" w:hAnsi="Arial" w:cs="Arial"/>
              </w:rPr>
              <w:t>0.2</w:t>
            </w:r>
          </w:p>
        </w:tc>
      </w:tr>
      <w:tr w:rsidR="001979A1" w:rsidRPr="00434E47" w:rsidTr="00B519F3">
        <w:tc>
          <w:tcPr>
            <w:tcW w:w="3544" w:type="dxa"/>
            <w:shd w:val="clear" w:color="auto" w:fill="auto"/>
          </w:tcPr>
          <w:p w:rsidR="001979A1" w:rsidRPr="00434E47" w:rsidRDefault="001979A1" w:rsidP="00B519F3">
            <w:pPr>
              <w:spacing w:after="0" w:line="360" w:lineRule="auto"/>
              <w:rPr>
                <w:rFonts w:ascii="Arial" w:hAnsi="Arial" w:cs="Arial"/>
                <w:b/>
              </w:rPr>
            </w:pPr>
            <w:r w:rsidRPr="00434E47">
              <w:rPr>
                <w:rFonts w:ascii="Arial" w:hAnsi="Arial" w:cs="Arial"/>
                <w:b/>
              </w:rPr>
              <w:t>Total Investments</w:t>
            </w:r>
          </w:p>
        </w:tc>
        <w:tc>
          <w:tcPr>
            <w:tcW w:w="2410" w:type="dxa"/>
            <w:shd w:val="clear" w:color="auto" w:fill="auto"/>
          </w:tcPr>
          <w:p w:rsidR="001979A1" w:rsidRPr="00434E47" w:rsidRDefault="007378EA" w:rsidP="00E40DE9">
            <w:pPr>
              <w:spacing w:after="0" w:line="360" w:lineRule="auto"/>
              <w:jc w:val="center"/>
              <w:rPr>
                <w:rFonts w:ascii="Arial" w:hAnsi="Arial" w:cs="Arial"/>
                <w:b/>
              </w:rPr>
            </w:pPr>
            <w:r>
              <w:rPr>
                <w:rFonts w:ascii="Arial" w:hAnsi="Arial" w:cs="Arial"/>
                <w:b/>
              </w:rPr>
              <w:t>4.5</w:t>
            </w:r>
          </w:p>
        </w:tc>
        <w:tc>
          <w:tcPr>
            <w:tcW w:w="2046" w:type="dxa"/>
            <w:shd w:val="clear" w:color="auto" w:fill="auto"/>
          </w:tcPr>
          <w:p w:rsidR="001979A1" w:rsidRPr="00434E47" w:rsidRDefault="00E40DE9" w:rsidP="00E40DE9">
            <w:pPr>
              <w:spacing w:after="0" w:line="360" w:lineRule="auto"/>
              <w:jc w:val="center"/>
              <w:rPr>
                <w:rFonts w:ascii="Arial" w:hAnsi="Arial" w:cs="Arial"/>
                <w:b/>
              </w:rPr>
            </w:pPr>
            <w:r>
              <w:rPr>
                <w:rFonts w:ascii="Arial" w:hAnsi="Arial" w:cs="Arial"/>
                <w:b/>
              </w:rPr>
              <w:t>0.2</w:t>
            </w:r>
          </w:p>
        </w:tc>
      </w:tr>
      <w:tr w:rsidR="001979A1" w:rsidRPr="00434E47" w:rsidTr="00B519F3">
        <w:tc>
          <w:tcPr>
            <w:tcW w:w="3544" w:type="dxa"/>
            <w:shd w:val="clear" w:color="auto" w:fill="auto"/>
          </w:tcPr>
          <w:p w:rsidR="001979A1" w:rsidRPr="00434E47" w:rsidRDefault="001979A1" w:rsidP="00B519F3">
            <w:pPr>
              <w:spacing w:after="0" w:line="360" w:lineRule="auto"/>
              <w:rPr>
                <w:rFonts w:ascii="Arial" w:hAnsi="Arial" w:cs="Arial"/>
                <w:b/>
              </w:rPr>
            </w:pPr>
            <w:r w:rsidRPr="00434E47">
              <w:rPr>
                <w:rFonts w:ascii="Arial" w:hAnsi="Arial" w:cs="Arial"/>
                <w:b/>
              </w:rPr>
              <w:t>Net Debt</w:t>
            </w:r>
          </w:p>
        </w:tc>
        <w:tc>
          <w:tcPr>
            <w:tcW w:w="2410" w:type="dxa"/>
            <w:shd w:val="clear" w:color="auto" w:fill="auto"/>
          </w:tcPr>
          <w:p w:rsidR="001979A1" w:rsidRPr="00434E47" w:rsidRDefault="007378EA" w:rsidP="007378EA">
            <w:pPr>
              <w:spacing w:after="0" w:line="360" w:lineRule="auto"/>
              <w:jc w:val="center"/>
              <w:rPr>
                <w:rFonts w:ascii="Arial" w:hAnsi="Arial" w:cs="Arial"/>
                <w:b/>
              </w:rPr>
            </w:pPr>
            <w:r>
              <w:rPr>
                <w:rFonts w:ascii="Arial" w:hAnsi="Arial" w:cs="Arial"/>
                <w:b/>
              </w:rPr>
              <w:t>47.5</w:t>
            </w:r>
          </w:p>
        </w:tc>
        <w:tc>
          <w:tcPr>
            <w:tcW w:w="2046" w:type="dxa"/>
            <w:shd w:val="clear" w:color="auto" w:fill="auto"/>
          </w:tcPr>
          <w:p w:rsidR="001979A1" w:rsidRPr="00434E47" w:rsidRDefault="001979A1" w:rsidP="00B519F3">
            <w:pPr>
              <w:spacing w:after="0" w:line="360" w:lineRule="auto"/>
              <w:rPr>
                <w:rFonts w:ascii="Arial" w:hAnsi="Arial" w:cs="Arial"/>
                <w:b/>
              </w:rPr>
            </w:pPr>
          </w:p>
        </w:tc>
      </w:tr>
    </w:tbl>
    <w:p w:rsidR="00F144F1" w:rsidRPr="00434E47" w:rsidRDefault="00F144F1" w:rsidP="009F23E2">
      <w:pPr>
        <w:pStyle w:val="ListParagraph"/>
        <w:ind w:left="0"/>
        <w:contextualSpacing w:val="0"/>
        <w:jc w:val="both"/>
        <w:rPr>
          <w:rFonts w:ascii="Arial" w:hAnsi="Arial" w:cs="Arial"/>
          <w:b/>
        </w:rPr>
      </w:pPr>
    </w:p>
    <w:p w:rsidR="002964BD" w:rsidRPr="00434E47" w:rsidRDefault="002964BD" w:rsidP="008655FC">
      <w:pPr>
        <w:jc w:val="both"/>
        <w:rPr>
          <w:rFonts w:ascii="Arial" w:hAnsi="Arial" w:cs="Arial"/>
          <w:b/>
        </w:rPr>
      </w:pPr>
    </w:p>
    <w:sectPr w:rsidR="002964BD" w:rsidRPr="00434E47" w:rsidSect="006B727A">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F3" w:rsidRDefault="00B519F3" w:rsidP="000445E6">
      <w:pPr>
        <w:spacing w:after="0" w:line="240" w:lineRule="auto"/>
      </w:pPr>
      <w:r>
        <w:separator/>
      </w:r>
    </w:p>
  </w:endnote>
  <w:endnote w:type="continuationSeparator" w:id="0">
    <w:p w:rsidR="00B519F3" w:rsidRDefault="00B519F3" w:rsidP="000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Footer"/>
      <w:pBdr>
        <w:top w:val="thinThickSmallGap" w:sz="24" w:space="1" w:color="622423" w:themeColor="accent2" w:themeShade="7F"/>
      </w:pBdr>
      <w:rPr>
        <w:rFonts w:asciiTheme="majorHAnsi" w:eastAsiaTheme="majorEastAsia" w:hAnsiTheme="majorHAnsi" w:cstheme="majorBidi"/>
      </w:rPr>
    </w:pPr>
    <w:r w:rsidRPr="006B727A">
      <w:rPr>
        <w:rFonts w:asciiTheme="majorHAnsi" w:eastAsiaTheme="majorEastAsia" w:hAnsiTheme="majorHAnsi" w:cstheme="majorBidi"/>
        <w:sz w:val="18"/>
        <w:szCs w:val="18"/>
        <w:lang w:val="en-GB"/>
      </w:rPr>
      <w:t xml:space="preserve">Treasury </w:t>
    </w:r>
    <w:proofErr w:type="spellStart"/>
    <w:r w:rsidRPr="006B727A">
      <w:rPr>
        <w:rFonts w:asciiTheme="majorHAnsi" w:eastAsiaTheme="majorEastAsia" w:hAnsiTheme="majorHAnsi" w:cstheme="majorBidi"/>
        <w:sz w:val="18"/>
        <w:szCs w:val="18"/>
        <w:lang w:val="en-GB"/>
      </w:rPr>
      <w:t>Mgt</w:t>
    </w:r>
    <w:proofErr w:type="spellEnd"/>
    <w:r w:rsidRPr="006B727A">
      <w:rPr>
        <w:rFonts w:asciiTheme="majorHAnsi" w:eastAsiaTheme="majorEastAsia" w:hAnsiTheme="majorHAnsi" w:cstheme="majorBidi"/>
        <w:sz w:val="18"/>
        <w:szCs w:val="18"/>
        <w:lang w:val="en-GB"/>
      </w:rPr>
      <w:t xml:space="preserve"> Strategy; NMDDC2016_2017 Feb 2016 </w:t>
    </w:r>
    <w:proofErr w:type="spellStart"/>
    <w:r w:rsidRPr="006B727A">
      <w:rPr>
        <w:rFonts w:asciiTheme="majorHAnsi" w:eastAsiaTheme="majorEastAsia" w:hAnsiTheme="majorHAnsi" w:cstheme="majorBidi"/>
        <w:sz w:val="18"/>
        <w:szCs w:val="18"/>
        <w:lang w:val="en-GB"/>
      </w:rPr>
      <w:t>rd</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B727A">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317463" w:rsidRDefault="00317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F3" w:rsidRDefault="00B519F3" w:rsidP="000445E6">
      <w:pPr>
        <w:spacing w:after="0" w:line="240" w:lineRule="auto"/>
      </w:pPr>
      <w:r>
        <w:separator/>
      </w:r>
    </w:p>
  </w:footnote>
  <w:footnote w:type="continuationSeparator" w:id="0">
    <w:p w:rsidR="00B519F3" w:rsidRDefault="00B519F3" w:rsidP="00044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7A" w:rsidRDefault="006B7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10"/>
    <w:multiLevelType w:val="hybridMultilevel"/>
    <w:tmpl w:val="FC2E3756"/>
    <w:lvl w:ilvl="0" w:tplc="340C0056">
      <w:start w:val="1"/>
      <w:numFmt w:val="bullet"/>
      <w:lvlText w:val=""/>
      <w:lvlJc w:val="left"/>
      <w:pPr>
        <w:tabs>
          <w:tab w:val="num" w:pos="720"/>
        </w:tabs>
        <w:ind w:left="720" w:hanging="360"/>
      </w:pPr>
      <w:rPr>
        <w:rFonts w:ascii="Wingdings" w:hAnsi="Wingdings" w:hint="default"/>
      </w:rPr>
    </w:lvl>
    <w:lvl w:ilvl="1" w:tplc="4E68856E" w:tentative="1">
      <w:start w:val="1"/>
      <w:numFmt w:val="bullet"/>
      <w:lvlText w:val=""/>
      <w:lvlJc w:val="left"/>
      <w:pPr>
        <w:tabs>
          <w:tab w:val="num" w:pos="1440"/>
        </w:tabs>
        <w:ind w:left="1440" w:hanging="360"/>
      </w:pPr>
      <w:rPr>
        <w:rFonts w:ascii="Wingdings" w:hAnsi="Wingdings" w:hint="default"/>
      </w:rPr>
    </w:lvl>
    <w:lvl w:ilvl="2" w:tplc="4920B3A6" w:tentative="1">
      <w:start w:val="1"/>
      <w:numFmt w:val="bullet"/>
      <w:lvlText w:val=""/>
      <w:lvlJc w:val="left"/>
      <w:pPr>
        <w:tabs>
          <w:tab w:val="num" w:pos="2160"/>
        </w:tabs>
        <w:ind w:left="2160" w:hanging="360"/>
      </w:pPr>
      <w:rPr>
        <w:rFonts w:ascii="Wingdings" w:hAnsi="Wingdings" w:hint="default"/>
      </w:rPr>
    </w:lvl>
    <w:lvl w:ilvl="3" w:tplc="73CE2E1C" w:tentative="1">
      <w:start w:val="1"/>
      <w:numFmt w:val="bullet"/>
      <w:lvlText w:val=""/>
      <w:lvlJc w:val="left"/>
      <w:pPr>
        <w:tabs>
          <w:tab w:val="num" w:pos="2880"/>
        </w:tabs>
        <w:ind w:left="2880" w:hanging="360"/>
      </w:pPr>
      <w:rPr>
        <w:rFonts w:ascii="Wingdings" w:hAnsi="Wingdings" w:hint="default"/>
      </w:rPr>
    </w:lvl>
    <w:lvl w:ilvl="4" w:tplc="699E30B6" w:tentative="1">
      <w:start w:val="1"/>
      <w:numFmt w:val="bullet"/>
      <w:lvlText w:val=""/>
      <w:lvlJc w:val="left"/>
      <w:pPr>
        <w:tabs>
          <w:tab w:val="num" w:pos="3600"/>
        </w:tabs>
        <w:ind w:left="3600" w:hanging="360"/>
      </w:pPr>
      <w:rPr>
        <w:rFonts w:ascii="Wingdings" w:hAnsi="Wingdings" w:hint="default"/>
      </w:rPr>
    </w:lvl>
    <w:lvl w:ilvl="5" w:tplc="35D2200C" w:tentative="1">
      <w:start w:val="1"/>
      <w:numFmt w:val="bullet"/>
      <w:lvlText w:val=""/>
      <w:lvlJc w:val="left"/>
      <w:pPr>
        <w:tabs>
          <w:tab w:val="num" w:pos="4320"/>
        </w:tabs>
        <w:ind w:left="4320" w:hanging="360"/>
      </w:pPr>
      <w:rPr>
        <w:rFonts w:ascii="Wingdings" w:hAnsi="Wingdings" w:hint="default"/>
      </w:rPr>
    </w:lvl>
    <w:lvl w:ilvl="6" w:tplc="C2666DCC" w:tentative="1">
      <w:start w:val="1"/>
      <w:numFmt w:val="bullet"/>
      <w:lvlText w:val=""/>
      <w:lvlJc w:val="left"/>
      <w:pPr>
        <w:tabs>
          <w:tab w:val="num" w:pos="5040"/>
        </w:tabs>
        <w:ind w:left="5040" w:hanging="360"/>
      </w:pPr>
      <w:rPr>
        <w:rFonts w:ascii="Wingdings" w:hAnsi="Wingdings" w:hint="default"/>
      </w:rPr>
    </w:lvl>
    <w:lvl w:ilvl="7" w:tplc="CA50E2E8" w:tentative="1">
      <w:start w:val="1"/>
      <w:numFmt w:val="bullet"/>
      <w:lvlText w:val=""/>
      <w:lvlJc w:val="left"/>
      <w:pPr>
        <w:tabs>
          <w:tab w:val="num" w:pos="5760"/>
        </w:tabs>
        <w:ind w:left="5760" w:hanging="360"/>
      </w:pPr>
      <w:rPr>
        <w:rFonts w:ascii="Wingdings" w:hAnsi="Wingdings" w:hint="default"/>
      </w:rPr>
    </w:lvl>
    <w:lvl w:ilvl="8" w:tplc="64DA85B6" w:tentative="1">
      <w:start w:val="1"/>
      <w:numFmt w:val="bullet"/>
      <w:lvlText w:val=""/>
      <w:lvlJc w:val="left"/>
      <w:pPr>
        <w:tabs>
          <w:tab w:val="num" w:pos="6480"/>
        </w:tabs>
        <w:ind w:left="6480" w:hanging="360"/>
      </w:pPr>
      <w:rPr>
        <w:rFonts w:ascii="Wingdings" w:hAnsi="Wingdings" w:hint="default"/>
      </w:rPr>
    </w:lvl>
  </w:abstractNum>
  <w:abstractNum w:abstractNumId="1">
    <w:nsid w:val="049F7312"/>
    <w:multiLevelType w:val="hybridMultilevel"/>
    <w:tmpl w:val="B49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7109C5"/>
    <w:multiLevelType w:val="hybridMultilevel"/>
    <w:tmpl w:val="0F6CEED8"/>
    <w:lvl w:ilvl="0" w:tplc="86CCB77A">
      <w:start w:val="1"/>
      <w:numFmt w:val="bullet"/>
      <w:lvlText w:val=""/>
      <w:lvlJc w:val="left"/>
      <w:pPr>
        <w:tabs>
          <w:tab w:val="num" w:pos="720"/>
        </w:tabs>
        <w:ind w:left="720" w:hanging="360"/>
      </w:pPr>
      <w:rPr>
        <w:rFonts w:ascii="Wingdings" w:hAnsi="Wingdings" w:hint="default"/>
      </w:rPr>
    </w:lvl>
    <w:lvl w:ilvl="1" w:tplc="3A2035AA" w:tentative="1">
      <w:start w:val="1"/>
      <w:numFmt w:val="bullet"/>
      <w:lvlText w:val=""/>
      <w:lvlJc w:val="left"/>
      <w:pPr>
        <w:tabs>
          <w:tab w:val="num" w:pos="1440"/>
        </w:tabs>
        <w:ind w:left="1440" w:hanging="360"/>
      </w:pPr>
      <w:rPr>
        <w:rFonts w:ascii="Wingdings" w:hAnsi="Wingdings" w:hint="default"/>
      </w:rPr>
    </w:lvl>
    <w:lvl w:ilvl="2" w:tplc="3FF64B9A" w:tentative="1">
      <w:start w:val="1"/>
      <w:numFmt w:val="bullet"/>
      <w:lvlText w:val=""/>
      <w:lvlJc w:val="left"/>
      <w:pPr>
        <w:tabs>
          <w:tab w:val="num" w:pos="2160"/>
        </w:tabs>
        <w:ind w:left="2160" w:hanging="360"/>
      </w:pPr>
      <w:rPr>
        <w:rFonts w:ascii="Wingdings" w:hAnsi="Wingdings" w:hint="default"/>
      </w:rPr>
    </w:lvl>
    <w:lvl w:ilvl="3" w:tplc="B89E118E" w:tentative="1">
      <w:start w:val="1"/>
      <w:numFmt w:val="bullet"/>
      <w:lvlText w:val=""/>
      <w:lvlJc w:val="left"/>
      <w:pPr>
        <w:tabs>
          <w:tab w:val="num" w:pos="2880"/>
        </w:tabs>
        <w:ind w:left="2880" w:hanging="360"/>
      </w:pPr>
      <w:rPr>
        <w:rFonts w:ascii="Wingdings" w:hAnsi="Wingdings" w:hint="default"/>
      </w:rPr>
    </w:lvl>
    <w:lvl w:ilvl="4" w:tplc="CE78786C" w:tentative="1">
      <w:start w:val="1"/>
      <w:numFmt w:val="bullet"/>
      <w:lvlText w:val=""/>
      <w:lvlJc w:val="left"/>
      <w:pPr>
        <w:tabs>
          <w:tab w:val="num" w:pos="3600"/>
        </w:tabs>
        <w:ind w:left="3600" w:hanging="360"/>
      </w:pPr>
      <w:rPr>
        <w:rFonts w:ascii="Wingdings" w:hAnsi="Wingdings" w:hint="default"/>
      </w:rPr>
    </w:lvl>
    <w:lvl w:ilvl="5" w:tplc="550E56C8" w:tentative="1">
      <w:start w:val="1"/>
      <w:numFmt w:val="bullet"/>
      <w:lvlText w:val=""/>
      <w:lvlJc w:val="left"/>
      <w:pPr>
        <w:tabs>
          <w:tab w:val="num" w:pos="4320"/>
        </w:tabs>
        <w:ind w:left="4320" w:hanging="360"/>
      </w:pPr>
      <w:rPr>
        <w:rFonts w:ascii="Wingdings" w:hAnsi="Wingdings" w:hint="default"/>
      </w:rPr>
    </w:lvl>
    <w:lvl w:ilvl="6" w:tplc="C4882936" w:tentative="1">
      <w:start w:val="1"/>
      <w:numFmt w:val="bullet"/>
      <w:lvlText w:val=""/>
      <w:lvlJc w:val="left"/>
      <w:pPr>
        <w:tabs>
          <w:tab w:val="num" w:pos="5040"/>
        </w:tabs>
        <w:ind w:left="5040" w:hanging="360"/>
      </w:pPr>
      <w:rPr>
        <w:rFonts w:ascii="Wingdings" w:hAnsi="Wingdings" w:hint="default"/>
      </w:rPr>
    </w:lvl>
    <w:lvl w:ilvl="7" w:tplc="5EA42C0C" w:tentative="1">
      <w:start w:val="1"/>
      <w:numFmt w:val="bullet"/>
      <w:lvlText w:val=""/>
      <w:lvlJc w:val="left"/>
      <w:pPr>
        <w:tabs>
          <w:tab w:val="num" w:pos="5760"/>
        </w:tabs>
        <w:ind w:left="5760" w:hanging="360"/>
      </w:pPr>
      <w:rPr>
        <w:rFonts w:ascii="Wingdings" w:hAnsi="Wingdings" w:hint="default"/>
      </w:rPr>
    </w:lvl>
    <w:lvl w:ilvl="8" w:tplc="51A20E78" w:tentative="1">
      <w:start w:val="1"/>
      <w:numFmt w:val="bullet"/>
      <w:lvlText w:val=""/>
      <w:lvlJc w:val="left"/>
      <w:pPr>
        <w:tabs>
          <w:tab w:val="num" w:pos="6480"/>
        </w:tabs>
        <w:ind w:left="6480" w:hanging="360"/>
      </w:pPr>
      <w:rPr>
        <w:rFonts w:ascii="Wingdings" w:hAnsi="Wingdings" w:hint="default"/>
      </w:rPr>
    </w:lvl>
  </w:abstractNum>
  <w:abstractNum w:abstractNumId="4">
    <w:nsid w:val="17FB2C64"/>
    <w:multiLevelType w:val="hybridMultilevel"/>
    <w:tmpl w:val="497A5D54"/>
    <w:lvl w:ilvl="0" w:tplc="C6E0156C">
      <w:start w:val="1"/>
      <w:numFmt w:val="bullet"/>
      <w:lvlText w:val=""/>
      <w:lvlJc w:val="left"/>
      <w:pPr>
        <w:tabs>
          <w:tab w:val="num" w:pos="720"/>
        </w:tabs>
        <w:ind w:left="720" w:hanging="360"/>
      </w:pPr>
      <w:rPr>
        <w:rFonts w:ascii="Wingdings" w:hAnsi="Wingdings" w:hint="default"/>
      </w:rPr>
    </w:lvl>
    <w:lvl w:ilvl="1" w:tplc="14125B14" w:tentative="1">
      <w:start w:val="1"/>
      <w:numFmt w:val="bullet"/>
      <w:lvlText w:val=""/>
      <w:lvlJc w:val="left"/>
      <w:pPr>
        <w:tabs>
          <w:tab w:val="num" w:pos="1440"/>
        </w:tabs>
        <w:ind w:left="1440" w:hanging="360"/>
      </w:pPr>
      <w:rPr>
        <w:rFonts w:ascii="Wingdings" w:hAnsi="Wingdings" w:hint="default"/>
      </w:rPr>
    </w:lvl>
    <w:lvl w:ilvl="2" w:tplc="9C1446E6" w:tentative="1">
      <w:start w:val="1"/>
      <w:numFmt w:val="bullet"/>
      <w:lvlText w:val=""/>
      <w:lvlJc w:val="left"/>
      <w:pPr>
        <w:tabs>
          <w:tab w:val="num" w:pos="2160"/>
        </w:tabs>
        <w:ind w:left="2160" w:hanging="360"/>
      </w:pPr>
      <w:rPr>
        <w:rFonts w:ascii="Wingdings" w:hAnsi="Wingdings" w:hint="default"/>
      </w:rPr>
    </w:lvl>
    <w:lvl w:ilvl="3" w:tplc="780CFA4C" w:tentative="1">
      <w:start w:val="1"/>
      <w:numFmt w:val="bullet"/>
      <w:lvlText w:val=""/>
      <w:lvlJc w:val="left"/>
      <w:pPr>
        <w:tabs>
          <w:tab w:val="num" w:pos="2880"/>
        </w:tabs>
        <w:ind w:left="2880" w:hanging="360"/>
      </w:pPr>
      <w:rPr>
        <w:rFonts w:ascii="Wingdings" w:hAnsi="Wingdings" w:hint="default"/>
      </w:rPr>
    </w:lvl>
    <w:lvl w:ilvl="4" w:tplc="C8A283EC" w:tentative="1">
      <w:start w:val="1"/>
      <w:numFmt w:val="bullet"/>
      <w:lvlText w:val=""/>
      <w:lvlJc w:val="left"/>
      <w:pPr>
        <w:tabs>
          <w:tab w:val="num" w:pos="3600"/>
        </w:tabs>
        <w:ind w:left="3600" w:hanging="360"/>
      </w:pPr>
      <w:rPr>
        <w:rFonts w:ascii="Wingdings" w:hAnsi="Wingdings" w:hint="default"/>
      </w:rPr>
    </w:lvl>
    <w:lvl w:ilvl="5" w:tplc="59EC040A" w:tentative="1">
      <w:start w:val="1"/>
      <w:numFmt w:val="bullet"/>
      <w:lvlText w:val=""/>
      <w:lvlJc w:val="left"/>
      <w:pPr>
        <w:tabs>
          <w:tab w:val="num" w:pos="4320"/>
        </w:tabs>
        <w:ind w:left="4320" w:hanging="360"/>
      </w:pPr>
      <w:rPr>
        <w:rFonts w:ascii="Wingdings" w:hAnsi="Wingdings" w:hint="default"/>
      </w:rPr>
    </w:lvl>
    <w:lvl w:ilvl="6" w:tplc="2DBCD6CA" w:tentative="1">
      <w:start w:val="1"/>
      <w:numFmt w:val="bullet"/>
      <w:lvlText w:val=""/>
      <w:lvlJc w:val="left"/>
      <w:pPr>
        <w:tabs>
          <w:tab w:val="num" w:pos="5040"/>
        </w:tabs>
        <w:ind w:left="5040" w:hanging="360"/>
      </w:pPr>
      <w:rPr>
        <w:rFonts w:ascii="Wingdings" w:hAnsi="Wingdings" w:hint="default"/>
      </w:rPr>
    </w:lvl>
    <w:lvl w:ilvl="7" w:tplc="B8FC1DFA" w:tentative="1">
      <w:start w:val="1"/>
      <w:numFmt w:val="bullet"/>
      <w:lvlText w:val=""/>
      <w:lvlJc w:val="left"/>
      <w:pPr>
        <w:tabs>
          <w:tab w:val="num" w:pos="5760"/>
        </w:tabs>
        <w:ind w:left="5760" w:hanging="360"/>
      </w:pPr>
      <w:rPr>
        <w:rFonts w:ascii="Wingdings" w:hAnsi="Wingdings" w:hint="default"/>
      </w:rPr>
    </w:lvl>
    <w:lvl w:ilvl="8" w:tplc="54CCA7CE" w:tentative="1">
      <w:start w:val="1"/>
      <w:numFmt w:val="bullet"/>
      <w:lvlText w:val=""/>
      <w:lvlJc w:val="left"/>
      <w:pPr>
        <w:tabs>
          <w:tab w:val="num" w:pos="6480"/>
        </w:tabs>
        <w:ind w:left="6480" w:hanging="360"/>
      </w:pPr>
      <w:rPr>
        <w:rFonts w:ascii="Wingdings" w:hAnsi="Wingdings" w:hint="default"/>
      </w:rPr>
    </w:lvl>
  </w:abstractNum>
  <w:abstractNum w:abstractNumId="5">
    <w:nsid w:val="1A04527B"/>
    <w:multiLevelType w:val="hybridMultilevel"/>
    <w:tmpl w:val="117059B8"/>
    <w:lvl w:ilvl="0" w:tplc="B0C645C8">
      <w:start w:val="5"/>
      <w:numFmt w:val="bullet"/>
      <w:lvlText w:val="•"/>
      <w:lvlJc w:val="left"/>
      <w:pPr>
        <w:ind w:left="1080" w:hanging="72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9C038B"/>
    <w:multiLevelType w:val="hybridMultilevel"/>
    <w:tmpl w:val="F0DCD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D500E53"/>
    <w:multiLevelType w:val="hybridMultilevel"/>
    <w:tmpl w:val="5D8E941A"/>
    <w:lvl w:ilvl="0" w:tplc="12628924">
      <w:start w:val="1"/>
      <w:numFmt w:val="bullet"/>
      <w:lvlText w:val=""/>
      <w:lvlJc w:val="left"/>
      <w:pPr>
        <w:tabs>
          <w:tab w:val="num" w:pos="720"/>
        </w:tabs>
        <w:ind w:left="720" w:hanging="360"/>
      </w:pPr>
      <w:rPr>
        <w:rFonts w:ascii="Wingdings" w:hAnsi="Wingdings" w:hint="default"/>
      </w:rPr>
    </w:lvl>
    <w:lvl w:ilvl="1" w:tplc="C8D29CD2" w:tentative="1">
      <w:start w:val="1"/>
      <w:numFmt w:val="bullet"/>
      <w:lvlText w:val=""/>
      <w:lvlJc w:val="left"/>
      <w:pPr>
        <w:tabs>
          <w:tab w:val="num" w:pos="1440"/>
        </w:tabs>
        <w:ind w:left="1440" w:hanging="360"/>
      </w:pPr>
      <w:rPr>
        <w:rFonts w:ascii="Wingdings" w:hAnsi="Wingdings" w:hint="default"/>
      </w:rPr>
    </w:lvl>
    <w:lvl w:ilvl="2" w:tplc="B450E346" w:tentative="1">
      <w:start w:val="1"/>
      <w:numFmt w:val="bullet"/>
      <w:lvlText w:val=""/>
      <w:lvlJc w:val="left"/>
      <w:pPr>
        <w:tabs>
          <w:tab w:val="num" w:pos="2160"/>
        </w:tabs>
        <w:ind w:left="2160" w:hanging="360"/>
      </w:pPr>
      <w:rPr>
        <w:rFonts w:ascii="Wingdings" w:hAnsi="Wingdings" w:hint="default"/>
      </w:rPr>
    </w:lvl>
    <w:lvl w:ilvl="3" w:tplc="A2F067C8" w:tentative="1">
      <w:start w:val="1"/>
      <w:numFmt w:val="bullet"/>
      <w:lvlText w:val=""/>
      <w:lvlJc w:val="left"/>
      <w:pPr>
        <w:tabs>
          <w:tab w:val="num" w:pos="2880"/>
        </w:tabs>
        <w:ind w:left="2880" w:hanging="360"/>
      </w:pPr>
      <w:rPr>
        <w:rFonts w:ascii="Wingdings" w:hAnsi="Wingdings" w:hint="default"/>
      </w:rPr>
    </w:lvl>
    <w:lvl w:ilvl="4" w:tplc="E89C5748" w:tentative="1">
      <w:start w:val="1"/>
      <w:numFmt w:val="bullet"/>
      <w:lvlText w:val=""/>
      <w:lvlJc w:val="left"/>
      <w:pPr>
        <w:tabs>
          <w:tab w:val="num" w:pos="3600"/>
        </w:tabs>
        <w:ind w:left="3600" w:hanging="360"/>
      </w:pPr>
      <w:rPr>
        <w:rFonts w:ascii="Wingdings" w:hAnsi="Wingdings" w:hint="default"/>
      </w:rPr>
    </w:lvl>
    <w:lvl w:ilvl="5" w:tplc="C5EC9232" w:tentative="1">
      <w:start w:val="1"/>
      <w:numFmt w:val="bullet"/>
      <w:lvlText w:val=""/>
      <w:lvlJc w:val="left"/>
      <w:pPr>
        <w:tabs>
          <w:tab w:val="num" w:pos="4320"/>
        </w:tabs>
        <w:ind w:left="4320" w:hanging="360"/>
      </w:pPr>
      <w:rPr>
        <w:rFonts w:ascii="Wingdings" w:hAnsi="Wingdings" w:hint="default"/>
      </w:rPr>
    </w:lvl>
    <w:lvl w:ilvl="6" w:tplc="1D92BBDE" w:tentative="1">
      <w:start w:val="1"/>
      <w:numFmt w:val="bullet"/>
      <w:lvlText w:val=""/>
      <w:lvlJc w:val="left"/>
      <w:pPr>
        <w:tabs>
          <w:tab w:val="num" w:pos="5040"/>
        </w:tabs>
        <w:ind w:left="5040" w:hanging="360"/>
      </w:pPr>
      <w:rPr>
        <w:rFonts w:ascii="Wingdings" w:hAnsi="Wingdings" w:hint="default"/>
      </w:rPr>
    </w:lvl>
    <w:lvl w:ilvl="7" w:tplc="BC00E824" w:tentative="1">
      <w:start w:val="1"/>
      <w:numFmt w:val="bullet"/>
      <w:lvlText w:val=""/>
      <w:lvlJc w:val="left"/>
      <w:pPr>
        <w:tabs>
          <w:tab w:val="num" w:pos="5760"/>
        </w:tabs>
        <w:ind w:left="5760" w:hanging="360"/>
      </w:pPr>
      <w:rPr>
        <w:rFonts w:ascii="Wingdings" w:hAnsi="Wingdings" w:hint="default"/>
      </w:rPr>
    </w:lvl>
    <w:lvl w:ilvl="8" w:tplc="460A7372" w:tentative="1">
      <w:start w:val="1"/>
      <w:numFmt w:val="bullet"/>
      <w:lvlText w:val=""/>
      <w:lvlJc w:val="left"/>
      <w:pPr>
        <w:tabs>
          <w:tab w:val="num" w:pos="6480"/>
        </w:tabs>
        <w:ind w:left="6480" w:hanging="360"/>
      </w:pPr>
      <w:rPr>
        <w:rFonts w:ascii="Wingdings" w:hAnsi="Wingdings" w:hint="default"/>
      </w:rPr>
    </w:lvl>
  </w:abstractNum>
  <w:abstractNum w:abstractNumId="8">
    <w:nsid w:val="2FED53BA"/>
    <w:multiLevelType w:val="hybridMultilevel"/>
    <w:tmpl w:val="801E7EDA"/>
    <w:lvl w:ilvl="0" w:tplc="CD582F7C">
      <w:start w:val="1"/>
      <w:numFmt w:val="bullet"/>
      <w:lvlText w:val=""/>
      <w:lvlJc w:val="left"/>
      <w:pPr>
        <w:tabs>
          <w:tab w:val="num" w:pos="720"/>
        </w:tabs>
        <w:ind w:left="720" w:hanging="360"/>
      </w:pPr>
      <w:rPr>
        <w:rFonts w:ascii="Wingdings" w:hAnsi="Wingdings" w:hint="default"/>
      </w:rPr>
    </w:lvl>
    <w:lvl w:ilvl="1" w:tplc="0130C6D2" w:tentative="1">
      <w:start w:val="1"/>
      <w:numFmt w:val="bullet"/>
      <w:lvlText w:val=""/>
      <w:lvlJc w:val="left"/>
      <w:pPr>
        <w:tabs>
          <w:tab w:val="num" w:pos="1440"/>
        </w:tabs>
        <w:ind w:left="1440" w:hanging="360"/>
      </w:pPr>
      <w:rPr>
        <w:rFonts w:ascii="Wingdings" w:hAnsi="Wingdings" w:hint="default"/>
      </w:rPr>
    </w:lvl>
    <w:lvl w:ilvl="2" w:tplc="0D5AA1F6" w:tentative="1">
      <w:start w:val="1"/>
      <w:numFmt w:val="bullet"/>
      <w:lvlText w:val=""/>
      <w:lvlJc w:val="left"/>
      <w:pPr>
        <w:tabs>
          <w:tab w:val="num" w:pos="2160"/>
        </w:tabs>
        <w:ind w:left="2160" w:hanging="360"/>
      </w:pPr>
      <w:rPr>
        <w:rFonts w:ascii="Wingdings" w:hAnsi="Wingdings" w:hint="default"/>
      </w:rPr>
    </w:lvl>
    <w:lvl w:ilvl="3" w:tplc="DEEE0E86" w:tentative="1">
      <w:start w:val="1"/>
      <w:numFmt w:val="bullet"/>
      <w:lvlText w:val=""/>
      <w:lvlJc w:val="left"/>
      <w:pPr>
        <w:tabs>
          <w:tab w:val="num" w:pos="2880"/>
        </w:tabs>
        <w:ind w:left="2880" w:hanging="360"/>
      </w:pPr>
      <w:rPr>
        <w:rFonts w:ascii="Wingdings" w:hAnsi="Wingdings" w:hint="default"/>
      </w:rPr>
    </w:lvl>
    <w:lvl w:ilvl="4" w:tplc="749AA180" w:tentative="1">
      <w:start w:val="1"/>
      <w:numFmt w:val="bullet"/>
      <w:lvlText w:val=""/>
      <w:lvlJc w:val="left"/>
      <w:pPr>
        <w:tabs>
          <w:tab w:val="num" w:pos="3600"/>
        </w:tabs>
        <w:ind w:left="3600" w:hanging="360"/>
      </w:pPr>
      <w:rPr>
        <w:rFonts w:ascii="Wingdings" w:hAnsi="Wingdings" w:hint="default"/>
      </w:rPr>
    </w:lvl>
    <w:lvl w:ilvl="5" w:tplc="3664F10C" w:tentative="1">
      <w:start w:val="1"/>
      <w:numFmt w:val="bullet"/>
      <w:lvlText w:val=""/>
      <w:lvlJc w:val="left"/>
      <w:pPr>
        <w:tabs>
          <w:tab w:val="num" w:pos="4320"/>
        </w:tabs>
        <w:ind w:left="4320" w:hanging="360"/>
      </w:pPr>
      <w:rPr>
        <w:rFonts w:ascii="Wingdings" w:hAnsi="Wingdings" w:hint="default"/>
      </w:rPr>
    </w:lvl>
    <w:lvl w:ilvl="6" w:tplc="215E56B0" w:tentative="1">
      <w:start w:val="1"/>
      <w:numFmt w:val="bullet"/>
      <w:lvlText w:val=""/>
      <w:lvlJc w:val="left"/>
      <w:pPr>
        <w:tabs>
          <w:tab w:val="num" w:pos="5040"/>
        </w:tabs>
        <w:ind w:left="5040" w:hanging="360"/>
      </w:pPr>
      <w:rPr>
        <w:rFonts w:ascii="Wingdings" w:hAnsi="Wingdings" w:hint="default"/>
      </w:rPr>
    </w:lvl>
    <w:lvl w:ilvl="7" w:tplc="03C85ED6" w:tentative="1">
      <w:start w:val="1"/>
      <w:numFmt w:val="bullet"/>
      <w:lvlText w:val=""/>
      <w:lvlJc w:val="left"/>
      <w:pPr>
        <w:tabs>
          <w:tab w:val="num" w:pos="5760"/>
        </w:tabs>
        <w:ind w:left="5760" w:hanging="360"/>
      </w:pPr>
      <w:rPr>
        <w:rFonts w:ascii="Wingdings" w:hAnsi="Wingdings" w:hint="default"/>
      </w:rPr>
    </w:lvl>
    <w:lvl w:ilvl="8" w:tplc="9D1E25E8" w:tentative="1">
      <w:start w:val="1"/>
      <w:numFmt w:val="bullet"/>
      <w:lvlText w:val=""/>
      <w:lvlJc w:val="left"/>
      <w:pPr>
        <w:tabs>
          <w:tab w:val="num" w:pos="6480"/>
        </w:tabs>
        <w:ind w:left="6480" w:hanging="360"/>
      </w:pPr>
      <w:rPr>
        <w:rFonts w:ascii="Wingdings" w:hAnsi="Wingdings" w:hint="default"/>
      </w:rPr>
    </w:lvl>
  </w:abstractNum>
  <w:abstractNum w:abstractNumId="9">
    <w:nsid w:val="311C3D75"/>
    <w:multiLevelType w:val="hybridMultilevel"/>
    <w:tmpl w:val="3C92049E"/>
    <w:lvl w:ilvl="0" w:tplc="EE4432B8">
      <w:numFmt w:val="bullet"/>
      <w:lvlText w:val="–"/>
      <w:lvlJc w:val="left"/>
      <w:pPr>
        <w:ind w:left="420" w:hanging="360"/>
      </w:pPr>
      <w:rPr>
        <w:rFonts w:ascii="Trebuchet MS" w:eastAsia="Calibr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nsid w:val="441807B5"/>
    <w:multiLevelType w:val="hybridMultilevel"/>
    <w:tmpl w:val="98963BB0"/>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nsid w:val="4A171FAA"/>
    <w:multiLevelType w:val="hybridMultilevel"/>
    <w:tmpl w:val="D0AA99DC"/>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2F145A"/>
    <w:multiLevelType w:val="hybridMultilevel"/>
    <w:tmpl w:val="D916AC2E"/>
    <w:lvl w:ilvl="0" w:tplc="DD4C6FA6">
      <w:start w:val="1"/>
      <w:numFmt w:val="bullet"/>
      <w:lvlText w:val=""/>
      <w:lvlJc w:val="left"/>
      <w:pPr>
        <w:tabs>
          <w:tab w:val="num" w:pos="720"/>
        </w:tabs>
        <w:ind w:left="720" w:hanging="360"/>
      </w:pPr>
      <w:rPr>
        <w:rFonts w:ascii="Wingdings" w:hAnsi="Wingdings" w:hint="default"/>
      </w:rPr>
    </w:lvl>
    <w:lvl w:ilvl="1" w:tplc="CA440A46" w:tentative="1">
      <w:start w:val="1"/>
      <w:numFmt w:val="bullet"/>
      <w:lvlText w:val=""/>
      <w:lvlJc w:val="left"/>
      <w:pPr>
        <w:tabs>
          <w:tab w:val="num" w:pos="1440"/>
        </w:tabs>
        <w:ind w:left="1440" w:hanging="360"/>
      </w:pPr>
      <w:rPr>
        <w:rFonts w:ascii="Wingdings" w:hAnsi="Wingdings" w:hint="default"/>
      </w:rPr>
    </w:lvl>
    <w:lvl w:ilvl="2" w:tplc="8F145696" w:tentative="1">
      <w:start w:val="1"/>
      <w:numFmt w:val="bullet"/>
      <w:lvlText w:val=""/>
      <w:lvlJc w:val="left"/>
      <w:pPr>
        <w:tabs>
          <w:tab w:val="num" w:pos="2160"/>
        </w:tabs>
        <w:ind w:left="2160" w:hanging="360"/>
      </w:pPr>
      <w:rPr>
        <w:rFonts w:ascii="Wingdings" w:hAnsi="Wingdings" w:hint="default"/>
      </w:rPr>
    </w:lvl>
    <w:lvl w:ilvl="3" w:tplc="462C64B2" w:tentative="1">
      <w:start w:val="1"/>
      <w:numFmt w:val="bullet"/>
      <w:lvlText w:val=""/>
      <w:lvlJc w:val="left"/>
      <w:pPr>
        <w:tabs>
          <w:tab w:val="num" w:pos="2880"/>
        </w:tabs>
        <w:ind w:left="2880" w:hanging="360"/>
      </w:pPr>
      <w:rPr>
        <w:rFonts w:ascii="Wingdings" w:hAnsi="Wingdings" w:hint="default"/>
      </w:rPr>
    </w:lvl>
    <w:lvl w:ilvl="4" w:tplc="99DC259A" w:tentative="1">
      <w:start w:val="1"/>
      <w:numFmt w:val="bullet"/>
      <w:lvlText w:val=""/>
      <w:lvlJc w:val="left"/>
      <w:pPr>
        <w:tabs>
          <w:tab w:val="num" w:pos="3600"/>
        </w:tabs>
        <w:ind w:left="3600" w:hanging="360"/>
      </w:pPr>
      <w:rPr>
        <w:rFonts w:ascii="Wingdings" w:hAnsi="Wingdings" w:hint="default"/>
      </w:rPr>
    </w:lvl>
    <w:lvl w:ilvl="5" w:tplc="EAA8C976" w:tentative="1">
      <w:start w:val="1"/>
      <w:numFmt w:val="bullet"/>
      <w:lvlText w:val=""/>
      <w:lvlJc w:val="left"/>
      <w:pPr>
        <w:tabs>
          <w:tab w:val="num" w:pos="4320"/>
        </w:tabs>
        <w:ind w:left="4320" w:hanging="360"/>
      </w:pPr>
      <w:rPr>
        <w:rFonts w:ascii="Wingdings" w:hAnsi="Wingdings" w:hint="default"/>
      </w:rPr>
    </w:lvl>
    <w:lvl w:ilvl="6" w:tplc="67D00074" w:tentative="1">
      <w:start w:val="1"/>
      <w:numFmt w:val="bullet"/>
      <w:lvlText w:val=""/>
      <w:lvlJc w:val="left"/>
      <w:pPr>
        <w:tabs>
          <w:tab w:val="num" w:pos="5040"/>
        </w:tabs>
        <w:ind w:left="5040" w:hanging="360"/>
      </w:pPr>
      <w:rPr>
        <w:rFonts w:ascii="Wingdings" w:hAnsi="Wingdings" w:hint="default"/>
      </w:rPr>
    </w:lvl>
    <w:lvl w:ilvl="7" w:tplc="B442DCCA" w:tentative="1">
      <w:start w:val="1"/>
      <w:numFmt w:val="bullet"/>
      <w:lvlText w:val=""/>
      <w:lvlJc w:val="left"/>
      <w:pPr>
        <w:tabs>
          <w:tab w:val="num" w:pos="5760"/>
        </w:tabs>
        <w:ind w:left="5760" w:hanging="360"/>
      </w:pPr>
      <w:rPr>
        <w:rFonts w:ascii="Wingdings" w:hAnsi="Wingdings" w:hint="default"/>
      </w:rPr>
    </w:lvl>
    <w:lvl w:ilvl="8" w:tplc="B908FB78" w:tentative="1">
      <w:start w:val="1"/>
      <w:numFmt w:val="bullet"/>
      <w:lvlText w:val=""/>
      <w:lvlJc w:val="left"/>
      <w:pPr>
        <w:tabs>
          <w:tab w:val="num" w:pos="6480"/>
        </w:tabs>
        <w:ind w:left="6480" w:hanging="360"/>
      </w:pPr>
      <w:rPr>
        <w:rFonts w:ascii="Wingdings" w:hAnsi="Wingdings" w:hint="default"/>
      </w:rPr>
    </w:lvl>
  </w:abstractNum>
  <w:abstractNum w:abstractNumId="13">
    <w:nsid w:val="4FFF21B7"/>
    <w:multiLevelType w:val="hybridMultilevel"/>
    <w:tmpl w:val="3FE8211C"/>
    <w:lvl w:ilvl="0" w:tplc="B9D23E1A">
      <w:start w:val="1"/>
      <w:numFmt w:val="bullet"/>
      <w:lvlText w:val=""/>
      <w:lvlJc w:val="left"/>
      <w:pPr>
        <w:tabs>
          <w:tab w:val="num" w:pos="720"/>
        </w:tabs>
        <w:ind w:left="720" w:hanging="360"/>
      </w:pPr>
      <w:rPr>
        <w:rFonts w:ascii="Wingdings" w:hAnsi="Wingdings" w:hint="default"/>
      </w:rPr>
    </w:lvl>
    <w:lvl w:ilvl="1" w:tplc="F600E522" w:tentative="1">
      <w:start w:val="1"/>
      <w:numFmt w:val="bullet"/>
      <w:lvlText w:val=""/>
      <w:lvlJc w:val="left"/>
      <w:pPr>
        <w:tabs>
          <w:tab w:val="num" w:pos="1440"/>
        </w:tabs>
        <w:ind w:left="1440" w:hanging="360"/>
      </w:pPr>
      <w:rPr>
        <w:rFonts w:ascii="Wingdings" w:hAnsi="Wingdings" w:hint="default"/>
      </w:rPr>
    </w:lvl>
    <w:lvl w:ilvl="2" w:tplc="080E4216" w:tentative="1">
      <w:start w:val="1"/>
      <w:numFmt w:val="bullet"/>
      <w:lvlText w:val=""/>
      <w:lvlJc w:val="left"/>
      <w:pPr>
        <w:tabs>
          <w:tab w:val="num" w:pos="2160"/>
        </w:tabs>
        <w:ind w:left="2160" w:hanging="360"/>
      </w:pPr>
      <w:rPr>
        <w:rFonts w:ascii="Wingdings" w:hAnsi="Wingdings" w:hint="default"/>
      </w:rPr>
    </w:lvl>
    <w:lvl w:ilvl="3" w:tplc="BC84B576" w:tentative="1">
      <w:start w:val="1"/>
      <w:numFmt w:val="bullet"/>
      <w:lvlText w:val=""/>
      <w:lvlJc w:val="left"/>
      <w:pPr>
        <w:tabs>
          <w:tab w:val="num" w:pos="2880"/>
        </w:tabs>
        <w:ind w:left="2880" w:hanging="360"/>
      </w:pPr>
      <w:rPr>
        <w:rFonts w:ascii="Wingdings" w:hAnsi="Wingdings" w:hint="default"/>
      </w:rPr>
    </w:lvl>
    <w:lvl w:ilvl="4" w:tplc="06F6509C" w:tentative="1">
      <w:start w:val="1"/>
      <w:numFmt w:val="bullet"/>
      <w:lvlText w:val=""/>
      <w:lvlJc w:val="left"/>
      <w:pPr>
        <w:tabs>
          <w:tab w:val="num" w:pos="3600"/>
        </w:tabs>
        <w:ind w:left="3600" w:hanging="360"/>
      </w:pPr>
      <w:rPr>
        <w:rFonts w:ascii="Wingdings" w:hAnsi="Wingdings" w:hint="default"/>
      </w:rPr>
    </w:lvl>
    <w:lvl w:ilvl="5" w:tplc="C6A2D7AA" w:tentative="1">
      <w:start w:val="1"/>
      <w:numFmt w:val="bullet"/>
      <w:lvlText w:val=""/>
      <w:lvlJc w:val="left"/>
      <w:pPr>
        <w:tabs>
          <w:tab w:val="num" w:pos="4320"/>
        </w:tabs>
        <w:ind w:left="4320" w:hanging="360"/>
      </w:pPr>
      <w:rPr>
        <w:rFonts w:ascii="Wingdings" w:hAnsi="Wingdings" w:hint="default"/>
      </w:rPr>
    </w:lvl>
    <w:lvl w:ilvl="6" w:tplc="4C000A54" w:tentative="1">
      <w:start w:val="1"/>
      <w:numFmt w:val="bullet"/>
      <w:lvlText w:val=""/>
      <w:lvlJc w:val="left"/>
      <w:pPr>
        <w:tabs>
          <w:tab w:val="num" w:pos="5040"/>
        </w:tabs>
        <w:ind w:left="5040" w:hanging="360"/>
      </w:pPr>
      <w:rPr>
        <w:rFonts w:ascii="Wingdings" w:hAnsi="Wingdings" w:hint="default"/>
      </w:rPr>
    </w:lvl>
    <w:lvl w:ilvl="7" w:tplc="968A99F6" w:tentative="1">
      <w:start w:val="1"/>
      <w:numFmt w:val="bullet"/>
      <w:lvlText w:val=""/>
      <w:lvlJc w:val="left"/>
      <w:pPr>
        <w:tabs>
          <w:tab w:val="num" w:pos="5760"/>
        </w:tabs>
        <w:ind w:left="5760" w:hanging="360"/>
      </w:pPr>
      <w:rPr>
        <w:rFonts w:ascii="Wingdings" w:hAnsi="Wingdings" w:hint="default"/>
      </w:rPr>
    </w:lvl>
    <w:lvl w:ilvl="8" w:tplc="008C72B2" w:tentative="1">
      <w:start w:val="1"/>
      <w:numFmt w:val="bullet"/>
      <w:lvlText w:val=""/>
      <w:lvlJc w:val="left"/>
      <w:pPr>
        <w:tabs>
          <w:tab w:val="num" w:pos="6480"/>
        </w:tabs>
        <w:ind w:left="6480" w:hanging="360"/>
      </w:pPr>
      <w:rPr>
        <w:rFonts w:ascii="Wingdings" w:hAnsi="Wingdings" w:hint="default"/>
      </w:rPr>
    </w:lvl>
  </w:abstractNum>
  <w:abstractNum w:abstractNumId="14">
    <w:nsid w:val="54CE29CE"/>
    <w:multiLevelType w:val="hybridMultilevel"/>
    <w:tmpl w:val="1FF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096486"/>
    <w:multiLevelType w:val="hybridMultilevel"/>
    <w:tmpl w:val="6276BF58"/>
    <w:lvl w:ilvl="0" w:tplc="B0C645C8">
      <w:start w:val="5"/>
      <w:numFmt w:val="bullet"/>
      <w:lvlText w:val="•"/>
      <w:lvlJc w:val="left"/>
      <w:pPr>
        <w:ind w:left="1080" w:hanging="720"/>
      </w:pPr>
      <w:rPr>
        <w:rFonts w:ascii="Trebuchet MS" w:eastAsia="Calibri" w:hAnsi="Trebuchet MS" w:cs="Times New Roman" w:hint="default"/>
      </w:rPr>
    </w:lvl>
    <w:lvl w:ilvl="1" w:tplc="0B2C1400">
      <w:numFmt w:val="bullet"/>
      <w:lvlText w:val=""/>
      <w:lvlJc w:val="left"/>
      <w:pPr>
        <w:ind w:left="1800" w:hanging="72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263627"/>
    <w:multiLevelType w:val="hybridMultilevel"/>
    <w:tmpl w:val="7EF4D0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5610344"/>
    <w:multiLevelType w:val="hybridMultilevel"/>
    <w:tmpl w:val="F6F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E70E55"/>
    <w:multiLevelType w:val="hybridMultilevel"/>
    <w:tmpl w:val="1E52A4C6"/>
    <w:lvl w:ilvl="0" w:tplc="C520F63E">
      <w:start w:val="1"/>
      <w:numFmt w:val="bullet"/>
      <w:lvlText w:val=""/>
      <w:lvlJc w:val="left"/>
      <w:pPr>
        <w:tabs>
          <w:tab w:val="num" w:pos="720"/>
        </w:tabs>
        <w:ind w:left="720" w:hanging="360"/>
      </w:pPr>
      <w:rPr>
        <w:rFonts w:ascii="Wingdings" w:hAnsi="Wingdings" w:hint="default"/>
      </w:rPr>
    </w:lvl>
    <w:lvl w:ilvl="1" w:tplc="2D12845E" w:tentative="1">
      <w:start w:val="1"/>
      <w:numFmt w:val="bullet"/>
      <w:lvlText w:val=""/>
      <w:lvlJc w:val="left"/>
      <w:pPr>
        <w:tabs>
          <w:tab w:val="num" w:pos="1440"/>
        </w:tabs>
        <w:ind w:left="1440" w:hanging="360"/>
      </w:pPr>
      <w:rPr>
        <w:rFonts w:ascii="Wingdings" w:hAnsi="Wingdings" w:hint="default"/>
      </w:rPr>
    </w:lvl>
    <w:lvl w:ilvl="2" w:tplc="7B26E85C" w:tentative="1">
      <w:start w:val="1"/>
      <w:numFmt w:val="bullet"/>
      <w:lvlText w:val=""/>
      <w:lvlJc w:val="left"/>
      <w:pPr>
        <w:tabs>
          <w:tab w:val="num" w:pos="2160"/>
        </w:tabs>
        <w:ind w:left="2160" w:hanging="360"/>
      </w:pPr>
      <w:rPr>
        <w:rFonts w:ascii="Wingdings" w:hAnsi="Wingdings" w:hint="default"/>
      </w:rPr>
    </w:lvl>
    <w:lvl w:ilvl="3" w:tplc="C452F36E" w:tentative="1">
      <w:start w:val="1"/>
      <w:numFmt w:val="bullet"/>
      <w:lvlText w:val=""/>
      <w:lvlJc w:val="left"/>
      <w:pPr>
        <w:tabs>
          <w:tab w:val="num" w:pos="2880"/>
        </w:tabs>
        <w:ind w:left="2880" w:hanging="360"/>
      </w:pPr>
      <w:rPr>
        <w:rFonts w:ascii="Wingdings" w:hAnsi="Wingdings" w:hint="default"/>
      </w:rPr>
    </w:lvl>
    <w:lvl w:ilvl="4" w:tplc="467EA0CE" w:tentative="1">
      <w:start w:val="1"/>
      <w:numFmt w:val="bullet"/>
      <w:lvlText w:val=""/>
      <w:lvlJc w:val="left"/>
      <w:pPr>
        <w:tabs>
          <w:tab w:val="num" w:pos="3600"/>
        </w:tabs>
        <w:ind w:left="3600" w:hanging="360"/>
      </w:pPr>
      <w:rPr>
        <w:rFonts w:ascii="Wingdings" w:hAnsi="Wingdings" w:hint="default"/>
      </w:rPr>
    </w:lvl>
    <w:lvl w:ilvl="5" w:tplc="9816EA28" w:tentative="1">
      <w:start w:val="1"/>
      <w:numFmt w:val="bullet"/>
      <w:lvlText w:val=""/>
      <w:lvlJc w:val="left"/>
      <w:pPr>
        <w:tabs>
          <w:tab w:val="num" w:pos="4320"/>
        </w:tabs>
        <w:ind w:left="4320" w:hanging="360"/>
      </w:pPr>
      <w:rPr>
        <w:rFonts w:ascii="Wingdings" w:hAnsi="Wingdings" w:hint="default"/>
      </w:rPr>
    </w:lvl>
    <w:lvl w:ilvl="6" w:tplc="9A5C6824" w:tentative="1">
      <w:start w:val="1"/>
      <w:numFmt w:val="bullet"/>
      <w:lvlText w:val=""/>
      <w:lvlJc w:val="left"/>
      <w:pPr>
        <w:tabs>
          <w:tab w:val="num" w:pos="5040"/>
        </w:tabs>
        <w:ind w:left="5040" w:hanging="360"/>
      </w:pPr>
      <w:rPr>
        <w:rFonts w:ascii="Wingdings" w:hAnsi="Wingdings" w:hint="default"/>
      </w:rPr>
    </w:lvl>
    <w:lvl w:ilvl="7" w:tplc="9BE4ED50" w:tentative="1">
      <w:start w:val="1"/>
      <w:numFmt w:val="bullet"/>
      <w:lvlText w:val=""/>
      <w:lvlJc w:val="left"/>
      <w:pPr>
        <w:tabs>
          <w:tab w:val="num" w:pos="5760"/>
        </w:tabs>
        <w:ind w:left="5760" w:hanging="360"/>
      </w:pPr>
      <w:rPr>
        <w:rFonts w:ascii="Wingdings" w:hAnsi="Wingdings" w:hint="default"/>
      </w:rPr>
    </w:lvl>
    <w:lvl w:ilvl="8" w:tplc="A11429D8" w:tentative="1">
      <w:start w:val="1"/>
      <w:numFmt w:val="bullet"/>
      <w:lvlText w:val=""/>
      <w:lvlJc w:val="left"/>
      <w:pPr>
        <w:tabs>
          <w:tab w:val="num" w:pos="6480"/>
        </w:tabs>
        <w:ind w:left="6480" w:hanging="360"/>
      </w:pPr>
      <w:rPr>
        <w:rFonts w:ascii="Wingdings" w:hAnsi="Wingdings" w:hint="default"/>
      </w:rPr>
    </w:lvl>
  </w:abstractNum>
  <w:abstractNum w:abstractNumId="19">
    <w:nsid w:val="6EDB1466"/>
    <w:multiLevelType w:val="hybridMultilevel"/>
    <w:tmpl w:val="A2C26096"/>
    <w:lvl w:ilvl="0" w:tplc="0CDCB90C">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nsid w:val="72DA57EE"/>
    <w:multiLevelType w:val="hybridMultilevel"/>
    <w:tmpl w:val="FAF895C2"/>
    <w:lvl w:ilvl="0" w:tplc="C302D7D0">
      <w:start w:val="1"/>
      <w:numFmt w:val="bullet"/>
      <w:lvlText w:val=""/>
      <w:lvlJc w:val="left"/>
      <w:pPr>
        <w:tabs>
          <w:tab w:val="num" w:pos="720"/>
        </w:tabs>
        <w:ind w:left="720" w:hanging="360"/>
      </w:pPr>
      <w:rPr>
        <w:rFonts w:ascii="Wingdings" w:hAnsi="Wingdings" w:hint="default"/>
      </w:rPr>
    </w:lvl>
    <w:lvl w:ilvl="1" w:tplc="E12E50BA" w:tentative="1">
      <w:start w:val="1"/>
      <w:numFmt w:val="bullet"/>
      <w:lvlText w:val=""/>
      <w:lvlJc w:val="left"/>
      <w:pPr>
        <w:tabs>
          <w:tab w:val="num" w:pos="1440"/>
        </w:tabs>
        <w:ind w:left="1440" w:hanging="360"/>
      </w:pPr>
      <w:rPr>
        <w:rFonts w:ascii="Wingdings" w:hAnsi="Wingdings" w:hint="default"/>
      </w:rPr>
    </w:lvl>
    <w:lvl w:ilvl="2" w:tplc="716A6CEE" w:tentative="1">
      <w:start w:val="1"/>
      <w:numFmt w:val="bullet"/>
      <w:lvlText w:val=""/>
      <w:lvlJc w:val="left"/>
      <w:pPr>
        <w:tabs>
          <w:tab w:val="num" w:pos="2160"/>
        </w:tabs>
        <w:ind w:left="2160" w:hanging="360"/>
      </w:pPr>
      <w:rPr>
        <w:rFonts w:ascii="Wingdings" w:hAnsi="Wingdings" w:hint="default"/>
      </w:rPr>
    </w:lvl>
    <w:lvl w:ilvl="3" w:tplc="7B365C6A" w:tentative="1">
      <w:start w:val="1"/>
      <w:numFmt w:val="bullet"/>
      <w:lvlText w:val=""/>
      <w:lvlJc w:val="left"/>
      <w:pPr>
        <w:tabs>
          <w:tab w:val="num" w:pos="2880"/>
        </w:tabs>
        <w:ind w:left="2880" w:hanging="360"/>
      </w:pPr>
      <w:rPr>
        <w:rFonts w:ascii="Wingdings" w:hAnsi="Wingdings" w:hint="default"/>
      </w:rPr>
    </w:lvl>
    <w:lvl w:ilvl="4" w:tplc="AD064A98" w:tentative="1">
      <w:start w:val="1"/>
      <w:numFmt w:val="bullet"/>
      <w:lvlText w:val=""/>
      <w:lvlJc w:val="left"/>
      <w:pPr>
        <w:tabs>
          <w:tab w:val="num" w:pos="3600"/>
        </w:tabs>
        <w:ind w:left="3600" w:hanging="360"/>
      </w:pPr>
      <w:rPr>
        <w:rFonts w:ascii="Wingdings" w:hAnsi="Wingdings" w:hint="default"/>
      </w:rPr>
    </w:lvl>
    <w:lvl w:ilvl="5" w:tplc="FBB05CFE" w:tentative="1">
      <w:start w:val="1"/>
      <w:numFmt w:val="bullet"/>
      <w:lvlText w:val=""/>
      <w:lvlJc w:val="left"/>
      <w:pPr>
        <w:tabs>
          <w:tab w:val="num" w:pos="4320"/>
        </w:tabs>
        <w:ind w:left="4320" w:hanging="360"/>
      </w:pPr>
      <w:rPr>
        <w:rFonts w:ascii="Wingdings" w:hAnsi="Wingdings" w:hint="default"/>
      </w:rPr>
    </w:lvl>
    <w:lvl w:ilvl="6" w:tplc="073029E6" w:tentative="1">
      <w:start w:val="1"/>
      <w:numFmt w:val="bullet"/>
      <w:lvlText w:val=""/>
      <w:lvlJc w:val="left"/>
      <w:pPr>
        <w:tabs>
          <w:tab w:val="num" w:pos="5040"/>
        </w:tabs>
        <w:ind w:left="5040" w:hanging="360"/>
      </w:pPr>
      <w:rPr>
        <w:rFonts w:ascii="Wingdings" w:hAnsi="Wingdings" w:hint="default"/>
      </w:rPr>
    </w:lvl>
    <w:lvl w:ilvl="7" w:tplc="B61E48EE" w:tentative="1">
      <w:start w:val="1"/>
      <w:numFmt w:val="bullet"/>
      <w:lvlText w:val=""/>
      <w:lvlJc w:val="left"/>
      <w:pPr>
        <w:tabs>
          <w:tab w:val="num" w:pos="5760"/>
        </w:tabs>
        <w:ind w:left="5760" w:hanging="360"/>
      </w:pPr>
      <w:rPr>
        <w:rFonts w:ascii="Wingdings" w:hAnsi="Wingdings" w:hint="default"/>
      </w:rPr>
    </w:lvl>
    <w:lvl w:ilvl="8" w:tplc="4EEC36FE" w:tentative="1">
      <w:start w:val="1"/>
      <w:numFmt w:val="bullet"/>
      <w:lvlText w:val=""/>
      <w:lvlJc w:val="left"/>
      <w:pPr>
        <w:tabs>
          <w:tab w:val="num" w:pos="6480"/>
        </w:tabs>
        <w:ind w:left="6480" w:hanging="360"/>
      </w:pPr>
      <w:rPr>
        <w:rFonts w:ascii="Wingdings" w:hAnsi="Wingdings" w:hint="default"/>
      </w:rPr>
    </w:lvl>
  </w:abstractNum>
  <w:abstractNum w:abstractNumId="21">
    <w:nsid w:val="79F33FD6"/>
    <w:multiLevelType w:val="hybridMultilevel"/>
    <w:tmpl w:val="4E4AFF2E"/>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21"/>
  </w:num>
  <w:num w:numId="5">
    <w:abstractNumId w:val="14"/>
  </w:num>
  <w:num w:numId="6">
    <w:abstractNumId w:val="5"/>
  </w:num>
  <w:num w:numId="7">
    <w:abstractNumId w:val="17"/>
  </w:num>
  <w:num w:numId="8">
    <w:abstractNumId w:val="1"/>
  </w:num>
  <w:num w:numId="9">
    <w:abstractNumId w:val="10"/>
  </w:num>
  <w:num w:numId="10">
    <w:abstractNumId w:val="9"/>
  </w:num>
  <w:num w:numId="11">
    <w:abstractNumId w:val="16"/>
  </w:num>
  <w:num w:numId="12">
    <w:abstractNumId w:val="19"/>
  </w:num>
  <w:num w:numId="13">
    <w:abstractNumId w:val="20"/>
  </w:num>
  <w:num w:numId="14">
    <w:abstractNumId w:val="4"/>
  </w:num>
  <w:num w:numId="15">
    <w:abstractNumId w:val="13"/>
  </w:num>
  <w:num w:numId="16">
    <w:abstractNumId w:val="12"/>
  </w:num>
  <w:num w:numId="17">
    <w:abstractNumId w:val="3"/>
  </w:num>
  <w:num w:numId="18">
    <w:abstractNumId w:val="18"/>
  </w:num>
  <w:num w:numId="19">
    <w:abstractNumId w:val="0"/>
  </w:num>
  <w:num w:numId="20">
    <w:abstractNumId w:val="7"/>
  </w:num>
  <w:num w:numId="21">
    <w:abstractNumId w:val="8"/>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53"/>
    <w:rsid w:val="0000199E"/>
    <w:rsid w:val="00002082"/>
    <w:rsid w:val="0000758A"/>
    <w:rsid w:val="00012AE0"/>
    <w:rsid w:val="000168CC"/>
    <w:rsid w:val="00017EAF"/>
    <w:rsid w:val="00023CC9"/>
    <w:rsid w:val="0002411A"/>
    <w:rsid w:val="00026248"/>
    <w:rsid w:val="000314E3"/>
    <w:rsid w:val="00031B49"/>
    <w:rsid w:val="00032328"/>
    <w:rsid w:val="00032B94"/>
    <w:rsid w:val="00042D83"/>
    <w:rsid w:val="00043839"/>
    <w:rsid w:val="000445E6"/>
    <w:rsid w:val="00046E24"/>
    <w:rsid w:val="00050647"/>
    <w:rsid w:val="00056956"/>
    <w:rsid w:val="00056EFC"/>
    <w:rsid w:val="00061569"/>
    <w:rsid w:val="00062DAA"/>
    <w:rsid w:val="00063999"/>
    <w:rsid w:val="00063F3A"/>
    <w:rsid w:val="000646F7"/>
    <w:rsid w:val="00067EF7"/>
    <w:rsid w:val="000717F9"/>
    <w:rsid w:val="000802CA"/>
    <w:rsid w:val="0008102D"/>
    <w:rsid w:val="000824E8"/>
    <w:rsid w:val="00086C54"/>
    <w:rsid w:val="00086DE8"/>
    <w:rsid w:val="00096F47"/>
    <w:rsid w:val="00097B87"/>
    <w:rsid w:val="000A13BB"/>
    <w:rsid w:val="000A2E12"/>
    <w:rsid w:val="000A59FD"/>
    <w:rsid w:val="000A7A7A"/>
    <w:rsid w:val="000A7EF6"/>
    <w:rsid w:val="000B1CC9"/>
    <w:rsid w:val="000B39CE"/>
    <w:rsid w:val="000B5B6A"/>
    <w:rsid w:val="000B6518"/>
    <w:rsid w:val="000B6FB1"/>
    <w:rsid w:val="000C04C7"/>
    <w:rsid w:val="000C58DE"/>
    <w:rsid w:val="000C6E8F"/>
    <w:rsid w:val="000C7544"/>
    <w:rsid w:val="000D0369"/>
    <w:rsid w:val="000D056B"/>
    <w:rsid w:val="000D0833"/>
    <w:rsid w:val="000D0A48"/>
    <w:rsid w:val="000D4B54"/>
    <w:rsid w:val="000D5FE6"/>
    <w:rsid w:val="000D6E92"/>
    <w:rsid w:val="000E180B"/>
    <w:rsid w:val="000E23B7"/>
    <w:rsid w:val="000E3799"/>
    <w:rsid w:val="000E4C02"/>
    <w:rsid w:val="000E52D7"/>
    <w:rsid w:val="000F02A5"/>
    <w:rsid w:val="000F18A5"/>
    <w:rsid w:val="00100292"/>
    <w:rsid w:val="00104F2D"/>
    <w:rsid w:val="00105E7D"/>
    <w:rsid w:val="00120AD2"/>
    <w:rsid w:val="00120C0B"/>
    <w:rsid w:val="00121C31"/>
    <w:rsid w:val="00122824"/>
    <w:rsid w:val="001232C1"/>
    <w:rsid w:val="00124824"/>
    <w:rsid w:val="00124C08"/>
    <w:rsid w:val="001272AE"/>
    <w:rsid w:val="00132091"/>
    <w:rsid w:val="00137997"/>
    <w:rsid w:val="00140952"/>
    <w:rsid w:val="0014264D"/>
    <w:rsid w:val="00144FF6"/>
    <w:rsid w:val="00145863"/>
    <w:rsid w:val="00145F24"/>
    <w:rsid w:val="001538F1"/>
    <w:rsid w:val="00153A32"/>
    <w:rsid w:val="00154E08"/>
    <w:rsid w:val="00160C8A"/>
    <w:rsid w:val="00165B26"/>
    <w:rsid w:val="0016603C"/>
    <w:rsid w:val="00174A71"/>
    <w:rsid w:val="0017508D"/>
    <w:rsid w:val="001756FE"/>
    <w:rsid w:val="00175ED9"/>
    <w:rsid w:val="00176A0D"/>
    <w:rsid w:val="00177B80"/>
    <w:rsid w:val="001834CA"/>
    <w:rsid w:val="00196C83"/>
    <w:rsid w:val="001979A1"/>
    <w:rsid w:val="001A4B7E"/>
    <w:rsid w:val="001A6F7D"/>
    <w:rsid w:val="001B0266"/>
    <w:rsid w:val="001B2473"/>
    <w:rsid w:val="001B5446"/>
    <w:rsid w:val="001C18CF"/>
    <w:rsid w:val="001D4623"/>
    <w:rsid w:val="001D4C40"/>
    <w:rsid w:val="001D75FA"/>
    <w:rsid w:val="001E121A"/>
    <w:rsid w:val="001E523B"/>
    <w:rsid w:val="001E52B8"/>
    <w:rsid w:val="001E6335"/>
    <w:rsid w:val="001E7E3C"/>
    <w:rsid w:val="001F281B"/>
    <w:rsid w:val="001F6461"/>
    <w:rsid w:val="00202E2E"/>
    <w:rsid w:val="002127F7"/>
    <w:rsid w:val="0021387E"/>
    <w:rsid w:val="00213B39"/>
    <w:rsid w:val="00214A2F"/>
    <w:rsid w:val="00220C71"/>
    <w:rsid w:val="00220C8C"/>
    <w:rsid w:val="0022374C"/>
    <w:rsid w:val="00224278"/>
    <w:rsid w:val="00224CF9"/>
    <w:rsid w:val="0022538A"/>
    <w:rsid w:val="00225D04"/>
    <w:rsid w:val="002271C3"/>
    <w:rsid w:val="002339F0"/>
    <w:rsid w:val="002364D3"/>
    <w:rsid w:val="00237919"/>
    <w:rsid w:val="00243E06"/>
    <w:rsid w:val="00244F39"/>
    <w:rsid w:val="002453E8"/>
    <w:rsid w:val="00247ACC"/>
    <w:rsid w:val="0025188A"/>
    <w:rsid w:val="002524D2"/>
    <w:rsid w:val="00255B12"/>
    <w:rsid w:val="0026017D"/>
    <w:rsid w:val="002605AF"/>
    <w:rsid w:val="00266311"/>
    <w:rsid w:val="002729DE"/>
    <w:rsid w:val="00272A76"/>
    <w:rsid w:val="00280F35"/>
    <w:rsid w:val="00282D74"/>
    <w:rsid w:val="00284C24"/>
    <w:rsid w:val="0028735D"/>
    <w:rsid w:val="002873D1"/>
    <w:rsid w:val="00291777"/>
    <w:rsid w:val="00292226"/>
    <w:rsid w:val="002964BD"/>
    <w:rsid w:val="002A6180"/>
    <w:rsid w:val="002A65A2"/>
    <w:rsid w:val="002A6A8D"/>
    <w:rsid w:val="002A736F"/>
    <w:rsid w:val="002B0FB5"/>
    <w:rsid w:val="002B2FF4"/>
    <w:rsid w:val="002B30E5"/>
    <w:rsid w:val="002B3383"/>
    <w:rsid w:val="002B3760"/>
    <w:rsid w:val="002B464C"/>
    <w:rsid w:val="002C34A7"/>
    <w:rsid w:val="002C45DB"/>
    <w:rsid w:val="002C798A"/>
    <w:rsid w:val="002C7B6D"/>
    <w:rsid w:val="002D0EC1"/>
    <w:rsid w:val="002D457B"/>
    <w:rsid w:val="002D5393"/>
    <w:rsid w:val="002E3175"/>
    <w:rsid w:val="002E3A4A"/>
    <w:rsid w:val="002E5A85"/>
    <w:rsid w:val="002E7F4A"/>
    <w:rsid w:val="002F343A"/>
    <w:rsid w:val="003049FF"/>
    <w:rsid w:val="00304C29"/>
    <w:rsid w:val="00306045"/>
    <w:rsid w:val="0031020F"/>
    <w:rsid w:val="00310D1D"/>
    <w:rsid w:val="003127F0"/>
    <w:rsid w:val="00313A6E"/>
    <w:rsid w:val="00315F1D"/>
    <w:rsid w:val="00316D42"/>
    <w:rsid w:val="00317463"/>
    <w:rsid w:val="00317570"/>
    <w:rsid w:val="00320283"/>
    <w:rsid w:val="00322900"/>
    <w:rsid w:val="0032664A"/>
    <w:rsid w:val="00330D8B"/>
    <w:rsid w:val="00332211"/>
    <w:rsid w:val="003378EB"/>
    <w:rsid w:val="00340677"/>
    <w:rsid w:val="00352B7A"/>
    <w:rsid w:val="003533BF"/>
    <w:rsid w:val="003534B7"/>
    <w:rsid w:val="003545CA"/>
    <w:rsid w:val="00354898"/>
    <w:rsid w:val="003562AA"/>
    <w:rsid w:val="0035799D"/>
    <w:rsid w:val="00360A88"/>
    <w:rsid w:val="00362E79"/>
    <w:rsid w:val="00362EFD"/>
    <w:rsid w:val="003646C2"/>
    <w:rsid w:val="0036794C"/>
    <w:rsid w:val="00373D49"/>
    <w:rsid w:val="0037442B"/>
    <w:rsid w:val="00386897"/>
    <w:rsid w:val="003948F2"/>
    <w:rsid w:val="003A0DAA"/>
    <w:rsid w:val="003A1A21"/>
    <w:rsid w:val="003B0495"/>
    <w:rsid w:val="003B0FA7"/>
    <w:rsid w:val="003B4AC6"/>
    <w:rsid w:val="003B56CC"/>
    <w:rsid w:val="003B5A1A"/>
    <w:rsid w:val="003C166F"/>
    <w:rsid w:val="003C7C42"/>
    <w:rsid w:val="003D02BF"/>
    <w:rsid w:val="003D124E"/>
    <w:rsid w:val="003E4650"/>
    <w:rsid w:val="003E6FF7"/>
    <w:rsid w:val="003F0F71"/>
    <w:rsid w:val="003F1F75"/>
    <w:rsid w:val="003F3EA4"/>
    <w:rsid w:val="003F5F4F"/>
    <w:rsid w:val="003F7DDA"/>
    <w:rsid w:val="003F7E2B"/>
    <w:rsid w:val="00400E14"/>
    <w:rsid w:val="00405053"/>
    <w:rsid w:val="004059BC"/>
    <w:rsid w:val="0041119E"/>
    <w:rsid w:val="0041279D"/>
    <w:rsid w:val="00415499"/>
    <w:rsid w:val="0041798A"/>
    <w:rsid w:val="00421F9E"/>
    <w:rsid w:val="00431BA5"/>
    <w:rsid w:val="004348CC"/>
    <w:rsid w:val="00434E47"/>
    <w:rsid w:val="004363C9"/>
    <w:rsid w:val="00440A2C"/>
    <w:rsid w:val="004417EA"/>
    <w:rsid w:val="004418A4"/>
    <w:rsid w:val="00441B75"/>
    <w:rsid w:val="00451391"/>
    <w:rsid w:val="0045238B"/>
    <w:rsid w:val="00453EC2"/>
    <w:rsid w:val="00455D7A"/>
    <w:rsid w:val="0046548D"/>
    <w:rsid w:val="0046691C"/>
    <w:rsid w:val="004675F1"/>
    <w:rsid w:val="00471711"/>
    <w:rsid w:val="00472AE7"/>
    <w:rsid w:val="004736C9"/>
    <w:rsid w:val="004751E9"/>
    <w:rsid w:val="0048217F"/>
    <w:rsid w:val="0048657B"/>
    <w:rsid w:val="00494B44"/>
    <w:rsid w:val="004969C3"/>
    <w:rsid w:val="00496E08"/>
    <w:rsid w:val="004A1B0B"/>
    <w:rsid w:val="004A49A5"/>
    <w:rsid w:val="004B2544"/>
    <w:rsid w:val="004B25A6"/>
    <w:rsid w:val="004B4462"/>
    <w:rsid w:val="004B4BFE"/>
    <w:rsid w:val="004B716C"/>
    <w:rsid w:val="004C29EC"/>
    <w:rsid w:val="004C4984"/>
    <w:rsid w:val="004C6B8B"/>
    <w:rsid w:val="004D43B3"/>
    <w:rsid w:val="004D4A12"/>
    <w:rsid w:val="004D5961"/>
    <w:rsid w:val="004D782E"/>
    <w:rsid w:val="004E047F"/>
    <w:rsid w:val="004E5794"/>
    <w:rsid w:val="004F4359"/>
    <w:rsid w:val="004F4D16"/>
    <w:rsid w:val="004F72D0"/>
    <w:rsid w:val="005015C4"/>
    <w:rsid w:val="00502ABE"/>
    <w:rsid w:val="00503A64"/>
    <w:rsid w:val="00510777"/>
    <w:rsid w:val="005122C7"/>
    <w:rsid w:val="005135EE"/>
    <w:rsid w:val="005175F5"/>
    <w:rsid w:val="00521971"/>
    <w:rsid w:val="00522B8B"/>
    <w:rsid w:val="005235D9"/>
    <w:rsid w:val="00525DAF"/>
    <w:rsid w:val="005304E7"/>
    <w:rsid w:val="005313B4"/>
    <w:rsid w:val="0053535C"/>
    <w:rsid w:val="0053545A"/>
    <w:rsid w:val="0053637C"/>
    <w:rsid w:val="005403F6"/>
    <w:rsid w:val="00542306"/>
    <w:rsid w:val="00542AEF"/>
    <w:rsid w:val="00570CEA"/>
    <w:rsid w:val="005742B0"/>
    <w:rsid w:val="00575438"/>
    <w:rsid w:val="00580E42"/>
    <w:rsid w:val="005813FF"/>
    <w:rsid w:val="00582E58"/>
    <w:rsid w:val="0058349A"/>
    <w:rsid w:val="00583C7A"/>
    <w:rsid w:val="00594B77"/>
    <w:rsid w:val="00595813"/>
    <w:rsid w:val="005A07EE"/>
    <w:rsid w:val="005A29A3"/>
    <w:rsid w:val="005A427F"/>
    <w:rsid w:val="005A55B6"/>
    <w:rsid w:val="005B06AD"/>
    <w:rsid w:val="005B2AB9"/>
    <w:rsid w:val="005B5F75"/>
    <w:rsid w:val="005B6CA8"/>
    <w:rsid w:val="005B6EA9"/>
    <w:rsid w:val="005B70E6"/>
    <w:rsid w:val="005C0A60"/>
    <w:rsid w:val="005C0DF6"/>
    <w:rsid w:val="005C2888"/>
    <w:rsid w:val="005C3274"/>
    <w:rsid w:val="005C3ADE"/>
    <w:rsid w:val="005C4AB5"/>
    <w:rsid w:val="005D2AC9"/>
    <w:rsid w:val="005D4025"/>
    <w:rsid w:val="005D54C6"/>
    <w:rsid w:val="005D705D"/>
    <w:rsid w:val="005E43AA"/>
    <w:rsid w:val="005E4C25"/>
    <w:rsid w:val="005F0B10"/>
    <w:rsid w:val="006013D7"/>
    <w:rsid w:val="006018F2"/>
    <w:rsid w:val="00604281"/>
    <w:rsid w:val="006101C3"/>
    <w:rsid w:val="00623520"/>
    <w:rsid w:val="00623CF7"/>
    <w:rsid w:val="006243DB"/>
    <w:rsid w:val="0062459B"/>
    <w:rsid w:val="006250E8"/>
    <w:rsid w:val="00625E43"/>
    <w:rsid w:val="00637907"/>
    <w:rsid w:val="00640F2F"/>
    <w:rsid w:val="00641922"/>
    <w:rsid w:val="0064492B"/>
    <w:rsid w:val="00644F71"/>
    <w:rsid w:val="0064640B"/>
    <w:rsid w:val="00647DD4"/>
    <w:rsid w:val="00651411"/>
    <w:rsid w:val="006518B2"/>
    <w:rsid w:val="00653498"/>
    <w:rsid w:val="006545BE"/>
    <w:rsid w:val="00654FF7"/>
    <w:rsid w:val="006553C4"/>
    <w:rsid w:val="00655F00"/>
    <w:rsid w:val="00662731"/>
    <w:rsid w:val="006641A9"/>
    <w:rsid w:val="00664ED5"/>
    <w:rsid w:val="00665CBB"/>
    <w:rsid w:val="00666C22"/>
    <w:rsid w:val="00667795"/>
    <w:rsid w:val="00670205"/>
    <w:rsid w:val="00671877"/>
    <w:rsid w:val="00675620"/>
    <w:rsid w:val="006814DC"/>
    <w:rsid w:val="006815F0"/>
    <w:rsid w:val="0068629F"/>
    <w:rsid w:val="0068690A"/>
    <w:rsid w:val="0069007B"/>
    <w:rsid w:val="006911C0"/>
    <w:rsid w:val="00693CA7"/>
    <w:rsid w:val="006A07C6"/>
    <w:rsid w:val="006A3BD7"/>
    <w:rsid w:val="006A7E54"/>
    <w:rsid w:val="006B2197"/>
    <w:rsid w:val="006B47E8"/>
    <w:rsid w:val="006B727A"/>
    <w:rsid w:val="006C2181"/>
    <w:rsid w:val="006C2848"/>
    <w:rsid w:val="006C7565"/>
    <w:rsid w:val="006D380E"/>
    <w:rsid w:val="006D7B28"/>
    <w:rsid w:val="006E0307"/>
    <w:rsid w:val="006E7404"/>
    <w:rsid w:val="006F6892"/>
    <w:rsid w:val="007017BF"/>
    <w:rsid w:val="00703F4A"/>
    <w:rsid w:val="00705D9D"/>
    <w:rsid w:val="0070601B"/>
    <w:rsid w:val="007125E4"/>
    <w:rsid w:val="00717417"/>
    <w:rsid w:val="00731C96"/>
    <w:rsid w:val="00735293"/>
    <w:rsid w:val="007378EA"/>
    <w:rsid w:val="00753088"/>
    <w:rsid w:val="00753DAA"/>
    <w:rsid w:val="00762398"/>
    <w:rsid w:val="0076348F"/>
    <w:rsid w:val="007651A1"/>
    <w:rsid w:val="007671A7"/>
    <w:rsid w:val="00773CA7"/>
    <w:rsid w:val="00774245"/>
    <w:rsid w:val="00777102"/>
    <w:rsid w:val="007775F5"/>
    <w:rsid w:val="0078019C"/>
    <w:rsid w:val="00783ED0"/>
    <w:rsid w:val="007860AC"/>
    <w:rsid w:val="0078654C"/>
    <w:rsid w:val="007941FB"/>
    <w:rsid w:val="0079588D"/>
    <w:rsid w:val="007A4457"/>
    <w:rsid w:val="007A6541"/>
    <w:rsid w:val="007A7789"/>
    <w:rsid w:val="007B7C23"/>
    <w:rsid w:val="007C3CFF"/>
    <w:rsid w:val="007C3EF9"/>
    <w:rsid w:val="007C4FA7"/>
    <w:rsid w:val="007C5471"/>
    <w:rsid w:val="007C5833"/>
    <w:rsid w:val="007D77EA"/>
    <w:rsid w:val="007D7B42"/>
    <w:rsid w:val="007E13D6"/>
    <w:rsid w:val="007F12B1"/>
    <w:rsid w:val="007F2479"/>
    <w:rsid w:val="007F3DEF"/>
    <w:rsid w:val="007F7AC8"/>
    <w:rsid w:val="00803A5B"/>
    <w:rsid w:val="00805780"/>
    <w:rsid w:val="00806781"/>
    <w:rsid w:val="00810849"/>
    <w:rsid w:val="00810A91"/>
    <w:rsid w:val="008115D6"/>
    <w:rsid w:val="008135E6"/>
    <w:rsid w:val="00814FBF"/>
    <w:rsid w:val="00816303"/>
    <w:rsid w:val="00820497"/>
    <w:rsid w:val="00820725"/>
    <w:rsid w:val="0082298E"/>
    <w:rsid w:val="00831FC9"/>
    <w:rsid w:val="00833859"/>
    <w:rsid w:val="00834018"/>
    <w:rsid w:val="0083546E"/>
    <w:rsid w:val="00835806"/>
    <w:rsid w:val="008358D7"/>
    <w:rsid w:val="0084031C"/>
    <w:rsid w:val="0084341B"/>
    <w:rsid w:val="00846EB9"/>
    <w:rsid w:val="0084767C"/>
    <w:rsid w:val="00863AA3"/>
    <w:rsid w:val="00864A96"/>
    <w:rsid w:val="008655FC"/>
    <w:rsid w:val="00867D1A"/>
    <w:rsid w:val="00871384"/>
    <w:rsid w:val="00873751"/>
    <w:rsid w:val="00876D3B"/>
    <w:rsid w:val="008806AB"/>
    <w:rsid w:val="00885E42"/>
    <w:rsid w:val="00890D6F"/>
    <w:rsid w:val="00891CA1"/>
    <w:rsid w:val="00891D58"/>
    <w:rsid w:val="008940B2"/>
    <w:rsid w:val="008962DF"/>
    <w:rsid w:val="008A0FEB"/>
    <w:rsid w:val="008B2DB3"/>
    <w:rsid w:val="008B65C6"/>
    <w:rsid w:val="008B7BA1"/>
    <w:rsid w:val="008C2DEA"/>
    <w:rsid w:val="008C45F3"/>
    <w:rsid w:val="008C7C21"/>
    <w:rsid w:val="008D0592"/>
    <w:rsid w:val="008D0999"/>
    <w:rsid w:val="008D3CCA"/>
    <w:rsid w:val="008D3F91"/>
    <w:rsid w:val="008D5F31"/>
    <w:rsid w:val="008D748B"/>
    <w:rsid w:val="008E2FC1"/>
    <w:rsid w:val="008E3A9E"/>
    <w:rsid w:val="008E5DF8"/>
    <w:rsid w:val="008E6FD9"/>
    <w:rsid w:val="008F4202"/>
    <w:rsid w:val="008F518E"/>
    <w:rsid w:val="008F5D18"/>
    <w:rsid w:val="008F749A"/>
    <w:rsid w:val="008F7CCA"/>
    <w:rsid w:val="0090224B"/>
    <w:rsid w:val="00903ABA"/>
    <w:rsid w:val="0090429D"/>
    <w:rsid w:val="00904E89"/>
    <w:rsid w:val="009054C7"/>
    <w:rsid w:val="00905CB5"/>
    <w:rsid w:val="00910A7B"/>
    <w:rsid w:val="00915168"/>
    <w:rsid w:val="00915B83"/>
    <w:rsid w:val="00916B8D"/>
    <w:rsid w:val="00917A34"/>
    <w:rsid w:val="00923C3D"/>
    <w:rsid w:val="00924896"/>
    <w:rsid w:val="009268ED"/>
    <w:rsid w:val="009269B3"/>
    <w:rsid w:val="00940DF6"/>
    <w:rsid w:val="00941590"/>
    <w:rsid w:val="00943F43"/>
    <w:rsid w:val="00945662"/>
    <w:rsid w:val="00950B29"/>
    <w:rsid w:val="009555BD"/>
    <w:rsid w:val="00960E53"/>
    <w:rsid w:val="00962A72"/>
    <w:rsid w:val="00963019"/>
    <w:rsid w:val="009634DA"/>
    <w:rsid w:val="00973D43"/>
    <w:rsid w:val="0097520C"/>
    <w:rsid w:val="009814AA"/>
    <w:rsid w:val="00982073"/>
    <w:rsid w:val="009927F2"/>
    <w:rsid w:val="00992EF6"/>
    <w:rsid w:val="00993DAD"/>
    <w:rsid w:val="009943AD"/>
    <w:rsid w:val="009953C0"/>
    <w:rsid w:val="009977C6"/>
    <w:rsid w:val="009A0985"/>
    <w:rsid w:val="009A1E7E"/>
    <w:rsid w:val="009A603E"/>
    <w:rsid w:val="009B53E7"/>
    <w:rsid w:val="009B5BA9"/>
    <w:rsid w:val="009B742F"/>
    <w:rsid w:val="009B787A"/>
    <w:rsid w:val="009C0905"/>
    <w:rsid w:val="009C1F3C"/>
    <w:rsid w:val="009D4518"/>
    <w:rsid w:val="009D5E40"/>
    <w:rsid w:val="009E4BEA"/>
    <w:rsid w:val="009E6A0D"/>
    <w:rsid w:val="009F0773"/>
    <w:rsid w:val="009F0D2E"/>
    <w:rsid w:val="009F23E2"/>
    <w:rsid w:val="00A00BC9"/>
    <w:rsid w:val="00A0283A"/>
    <w:rsid w:val="00A07E44"/>
    <w:rsid w:val="00A10679"/>
    <w:rsid w:val="00A1151F"/>
    <w:rsid w:val="00A11ED1"/>
    <w:rsid w:val="00A24DB3"/>
    <w:rsid w:val="00A25728"/>
    <w:rsid w:val="00A27605"/>
    <w:rsid w:val="00A30E39"/>
    <w:rsid w:val="00A37D68"/>
    <w:rsid w:val="00A425C6"/>
    <w:rsid w:val="00A4333F"/>
    <w:rsid w:val="00A44DDF"/>
    <w:rsid w:val="00A517F7"/>
    <w:rsid w:val="00A551A2"/>
    <w:rsid w:val="00A5769E"/>
    <w:rsid w:val="00A61872"/>
    <w:rsid w:val="00A6335D"/>
    <w:rsid w:val="00A63498"/>
    <w:rsid w:val="00A63587"/>
    <w:rsid w:val="00A63853"/>
    <w:rsid w:val="00A648D7"/>
    <w:rsid w:val="00A73CDC"/>
    <w:rsid w:val="00A7597C"/>
    <w:rsid w:val="00A80F48"/>
    <w:rsid w:val="00A83A46"/>
    <w:rsid w:val="00A83BBA"/>
    <w:rsid w:val="00A86B48"/>
    <w:rsid w:val="00A955A8"/>
    <w:rsid w:val="00A97CA6"/>
    <w:rsid w:val="00AA5358"/>
    <w:rsid w:val="00AB44DD"/>
    <w:rsid w:val="00AB5508"/>
    <w:rsid w:val="00AB584E"/>
    <w:rsid w:val="00AC042B"/>
    <w:rsid w:val="00AC05CD"/>
    <w:rsid w:val="00AC1D6B"/>
    <w:rsid w:val="00AC29E7"/>
    <w:rsid w:val="00AD07B6"/>
    <w:rsid w:val="00AD3FC8"/>
    <w:rsid w:val="00AD4AA3"/>
    <w:rsid w:val="00AE20AB"/>
    <w:rsid w:val="00AE4AA1"/>
    <w:rsid w:val="00AE7F76"/>
    <w:rsid w:val="00AF2268"/>
    <w:rsid w:val="00AF6352"/>
    <w:rsid w:val="00AF647F"/>
    <w:rsid w:val="00B07CA2"/>
    <w:rsid w:val="00B12935"/>
    <w:rsid w:val="00B13025"/>
    <w:rsid w:val="00B131B2"/>
    <w:rsid w:val="00B20C68"/>
    <w:rsid w:val="00B21342"/>
    <w:rsid w:val="00B22854"/>
    <w:rsid w:val="00B2323B"/>
    <w:rsid w:val="00B3069A"/>
    <w:rsid w:val="00B357B3"/>
    <w:rsid w:val="00B35899"/>
    <w:rsid w:val="00B35A21"/>
    <w:rsid w:val="00B46844"/>
    <w:rsid w:val="00B5062C"/>
    <w:rsid w:val="00B519F3"/>
    <w:rsid w:val="00B51AC1"/>
    <w:rsid w:val="00B53627"/>
    <w:rsid w:val="00B537EE"/>
    <w:rsid w:val="00B560B3"/>
    <w:rsid w:val="00B66274"/>
    <w:rsid w:val="00B6697E"/>
    <w:rsid w:val="00B712AB"/>
    <w:rsid w:val="00B71359"/>
    <w:rsid w:val="00B73848"/>
    <w:rsid w:val="00B73BA4"/>
    <w:rsid w:val="00B73C0C"/>
    <w:rsid w:val="00B749F1"/>
    <w:rsid w:val="00B74CF0"/>
    <w:rsid w:val="00B84764"/>
    <w:rsid w:val="00B877DA"/>
    <w:rsid w:val="00B9121E"/>
    <w:rsid w:val="00B91F30"/>
    <w:rsid w:val="00B93742"/>
    <w:rsid w:val="00B93830"/>
    <w:rsid w:val="00BA072B"/>
    <w:rsid w:val="00BB0F58"/>
    <w:rsid w:val="00BB1197"/>
    <w:rsid w:val="00BC4F69"/>
    <w:rsid w:val="00BD06F3"/>
    <w:rsid w:val="00BD2638"/>
    <w:rsid w:val="00BD3CDC"/>
    <w:rsid w:val="00BD4367"/>
    <w:rsid w:val="00BD72CD"/>
    <w:rsid w:val="00BE6950"/>
    <w:rsid w:val="00BF09F4"/>
    <w:rsid w:val="00BF1D9A"/>
    <w:rsid w:val="00BF7DAF"/>
    <w:rsid w:val="00C05913"/>
    <w:rsid w:val="00C16530"/>
    <w:rsid w:val="00C17890"/>
    <w:rsid w:val="00C17962"/>
    <w:rsid w:val="00C20D5B"/>
    <w:rsid w:val="00C21341"/>
    <w:rsid w:val="00C213BC"/>
    <w:rsid w:val="00C260DA"/>
    <w:rsid w:val="00C32246"/>
    <w:rsid w:val="00C35706"/>
    <w:rsid w:val="00C36864"/>
    <w:rsid w:val="00C377C2"/>
    <w:rsid w:val="00C42A11"/>
    <w:rsid w:val="00C45142"/>
    <w:rsid w:val="00C4553F"/>
    <w:rsid w:val="00C5156F"/>
    <w:rsid w:val="00C53AB7"/>
    <w:rsid w:val="00C53E2F"/>
    <w:rsid w:val="00C540C0"/>
    <w:rsid w:val="00C55980"/>
    <w:rsid w:val="00C5712D"/>
    <w:rsid w:val="00C57258"/>
    <w:rsid w:val="00C609FC"/>
    <w:rsid w:val="00C61FF8"/>
    <w:rsid w:val="00C643E3"/>
    <w:rsid w:val="00C64721"/>
    <w:rsid w:val="00C71599"/>
    <w:rsid w:val="00C73A3C"/>
    <w:rsid w:val="00C74486"/>
    <w:rsid w:val="00C82115"/>
    <w:rsid w:val="00C845A7"/>
    <w:rsid w:val="00C856EE"/>
    <w:rsid w:val="00C85A12"/>
    <w:rsid w:val="00C85B6A"/>
    <w:rsid w:val="00C926DA"/>
    <w:rsid w:val="00C92F60"/>
    <w:rsid w:val="00C97489"/>
    <w:rsid w:val="00CA0D25"/>
    <w:rsid w:val="00CB53AA"/>
    <w:rsid w:val="00CB5ADC"/>
    <w:rsid w:val="00CB5E43"/>
    <w:rsid w:val="00CC3DE6"/>
    <w:rsid w:val="00CD0FA1"/>
    <w:rsid w:val="00CD46E2"/>
    <w:rsid w:val="00CE0B67"/>
    <w:rsid w:val="00CF2277"/>
    <w:rsid w:val="00CF45BA"/>
    <w:rsid w:val="00D01C3B"/>
    <w:rsid w:val="00D02CF0"/>
    <w:rsid w:val="00D0657B"/>
    <w:rsid w:val="00D10480"/>
    <w:rsid w:val="00D1060E"/>
    <w:rsid w:val="00D14CF7"/>
    <w:rsid w:val="00D177C8"/>
    <w:rsid w:val="00D20E41"/>
    <w:rsid w:val="00D21797"/>
    <w:rsid w:val="00D217FF"/>
    <w:rsid w:val="00D23286"/>
    <w:rsid w:val="00D246F4"/>
    <w:rsid w:val="00D30D97"/>
    <w:rsid w:val="00D32B05"/>
    <w:rsid w:val="00D34F4D"/>
    <w:rsid w:val="00D35EB7"/>
    <w:rsid w:val="00D4220C"/>
    <w:rsid w:val="00D42A44"/>
    <w:rsid w:val="00D43FFA"/>
    <w:rsid w:val="00D46230"/>
    <w:rsid w:val="00D500D0"/>
    <w:rsid w:val="00D51174"/>
    <w:rsid w:val="00D53F15"/>
    <w:rsid w:val="00D551D5"/>
    <w:rsid w:val="00D56172"/>
    <w:rsid w:val="00D563CB"/>
    <w:rsid w:val="00D566B0"/>
    <w:rsid w:val="00D569F6"/>
    <w:rsid w:val="00D60320"/>
    <w:rsid w:val="00D60EF9"/>
    <w:rsid w:val="00D71492"/>
    <w:rsid w:val="00D7189B"/>
    <w:rsid w:val="00D71F6E"/>
    <w:rsid w:val="00D74ADC"/>
    <w:rsid w:val="00D7508D"/>
    <w:rsid w:val="00D86598"/>
    <w:rsid w:val="00D930E0"/>
    <w:rsid w:val="00D95B4A"/>
    <w:rsid w:val="00D95E31"/>
    <w:rsid w:val="00DA12AD"/>
    <w:rsid w:val="00DA36D5"/>
    <w:rsid w:val="00DA5E39"/>
    <w:rsid w:val="00DA75E1"/>
    <w:rsid w:val="00DB00F5"/>
    <w:rsid w:val="00DB053F"/>
    <w:rsid w:val="00DB070B"/>
    <w:rsid w:val="00DB25C0"/>
    <w:rsid w:val="00DB30A0"/>
    <w:rsid w:val="00DB3B5F"/>
    <w:rsid w:val="00DB41CE"/>
    <w:rsid w:val="00DB4560"/>
    <w:rsid w:val="00DB4C2E"/>
    <w:rsid w:val="00DC2E50"/>
    <w:rsid w:val="00DC2F1C"/>
    <w:rsid w:val="00DE102B"/>
    <w:rsid w:val="00DE1607"/>
    <w:rsid w:val="00DE48BA"/>
    <w:rsid w:val="00DE496A"/>
    <w:rsid w:val="00DE5931"/>
    <w:rsid w:val="00DE5933"/>
    <w:rsid w:val="00DF29BA"/>
    <w:rsid w:val="00DF7C81"/>
    <w:rsid w:val="00E04FFE"/>
    <w:rsid w:val="00E1741D"/>
    <w:rsid w:val="00E20AA5"/>
    <w:rsid w:val="00E20F81"/>
    <w:rsid w:val="00E25E92"/>
    <w:rsid w:val="00E31D07"/>
    <w:rsid w:val="00E33652"/>
    <w:rsid w:val="00E353F6"/>
    <w:rsid w:val="00E36C6C"/>
    <w:rsid w:val="00E37A9A"/>
    <w:rsid w:val="00E40DE9"/>
    <w:rsid w:val="00E441A7"/>
    <w:rsid w:val="00E45363"/>
    <w:rsid w:val="00E52F09"/>
    <w:rsid w:val="00E536FB"/>
    <w:rsid w:val="00E54078"/>
    <w:rsid w:val="00E56DF4"/>
    <w:rsid w:val="00E57163"/>
    <w:rsid w:val="00E6034B"/>
    <w:rsid w:val="00E6062E"/>
    <w:rsid w:val="00E6543D"/>
    <w:rsid w:val="00E7455F"/>
    <w:rsid w:val="00E8208D"/>
    <w:rsid w:val="00E85F57"/>
    <w:rsid w:val="00E9074D"/>
    <w:rsid w:val="00E967BB"/>
    <w:rsid w:val="00EA1E8C"/>
    <w:rsid w:val="00EA5194"/>
    <w:rsid w:val="00EB0E97"/>
    <w:rsid w:val="00EB2B5D"/>
    <w:rsid w:val="00EC698F"/>
    <w:rsid w:val="00ED62B3"/>
    <w:rsid w:val="00ED758F"/>
    <w:rsid w:val="00EE1771"/>
    <w:rsid w:val="00EE1B8B"/>
    <w:rsid w:val="00EF08CD"/>
    <w:rsid w:val="00EF2A25"/>
    <w:rsid w:val="00EF60BD"/>
    <w:rsid w:val="00EF7F2D"/>
    <w:rsid w:val="00F0141E"/>
    <w:rsid w:val="00F065DF"/>
    <w:rsid w:val="00F07A5B"/>
    <w:rsid w:val="00F144F1"/>
    <w:rsid w:val="00F169CE"/>
    <w:rsid w:val="00F22598"/>
    <w:rsid w:val="00F249C8"/>
    <w:rsid w:val="00F34739"/>
    <w:rsid w:val="00F43033"/>
    <w:rsid w:val="00F4401C"/>
    <w:rsid w:val="00F50805"/>
    <w:rsid w:val="00F5186C"/>
    <w:rsid w:val="00F52635"/>
    <w:rsid w:val="00F53510"/>
    <w:rsid w:val="00F5658D"/>
    <w:rsid w:val="00F57541"/>
    <w:rsid w:val="00F62958"/>
    <w:rsid w:val="00F669A2"/>
    <w:rsid w:val="00F816ED"/>
    <w:rsid w:val="00F857EB"/>
    <w:rsid w:val="00F937EC"/>
    <w:rsid w:val="00F96477"/>
    <w:rsid w:val="00F964C8"/>
    <w:rsid w:val="00F96E28"/>
    <w:rsid w:val="00F97AA4"/>
    <w:rsid w:val="00FA498C"/>
    <w:rsid w:val="00FA54F3"/>
    <w:rsid w:val="00FA5BB4"/>
    <w:rsid w:val="00FA66A6"/>
    <w:rsid w:val="00FA6C4B"/>
    <w:rsid w:val="00FB6144"/>
    <w:rsid w:val="00FC12FD"/>
    <w:rsid w:val="00FC352A"/>
    <w:rsid w:val="00FC3BD0"/>
    <w:rsid w:val="00FC6923"/>
    <w:rsid w:val="00FD0923"/>
    <w:rsid w:val="00FD1DF4"/>
    <w:rsid w:val="00FD3E53"/>
    <w:rsid w:val="00FD5D40"/>
    <w:rsid w:val="00FD6480"/>
    <w:rsid w:val="00FD746B"/>
    <w:rsid w:val="00FE46B2"/>
    <w:rsid w:val="00FE6610"/>
    <w:rsid w:val="00FE6853"/>
    <w:rsid w:val="00FE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rsid w:val="00F347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semiHidden/>
    <w:unhideWhenUsed/>
    <w:rsid w:val="00662731"/>
    <w:pPr>
      <w:spacing w:line="240" w:lineRule="auto"/>
    </w:pPr>
    <w:rPr>
      <w:sz w:val="20"/>
      <w:szCs w:val="20"/>
      <w:lang w:val="x-none"/>
    </w:rPr>
  </w:style>
  <w:style w:type="character" w:customStyle="1" w:styleId="CommentTextChar">
    <w:name w:val="Comment Text Char"/>
    <w:link w:val="CommentText"/>
    <w:uiPriority w:val="99"/>
    <w:semiHidden/>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59"/>
    <w:rsid w:val="001979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rsid w:val="00F347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semiHidden/>
    <w:unhideWhenUsed/>
    <w:rsid w:val="00662731"/>
    <w:pPr>
      <w:spacing w:line="240" w:lineRule="auto"/>
    </w:pPr>
    <w:rPr>
      <w:sz w:val="20"/>
      <w:szCs w:val="20"/>
      <w:lang w:val="x-none"/>
    </w:rPr>
  </w:style>
  <w:style w:type="character" w:customStyle="1" w:styleId="CommentTextChar">
    <w:name w:val="Comment Text Char"/>
    <w:link w:val="CommentText"/>
    <w:uiPriority w:val="99"/>
    <w:semiHidden/>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uiPriority w:val="59"/>
    <w:rsid w:val="001979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698">
      <w:bodyDiv w:val="1"/>
      <w:marLeft w:val="0"/>
      <w:marRight w:val="0"/>
      <w:marTop w:val="0"/>
      <w:marBottom w:val="0"/>
      <w:divBdr>
        <w:top w:val="none" w:sz="0" w:space="0" w:color="auto"/>
        <w:left w:val="none" w:sz="0" w:space="0" w:color="auto"/>
        <w:bottom w:val="none" w:sz="0" w:space="0" w:color="auto"/>
        <w:right w:val="none" w:sz="0" w:space="0" w:color="auto"/>
      </w:divBdr>
      <w:divsChild>
        <w:div w:id="134951989">
          <w:marLeft w:val="274"/>
          <w:marRight w:val="0"/>
          <w:marTop w:val="0"/>
          <w:marBottom w:val="120"/>
          <w:divBdr>
            <w:top w:val="none" w:sz="0" w:space="0" w:color="auto"/>
            <w:left w:val="none" w:sz="0" w:space="0" w:color="auto"/>
            <w:bottom w:val="none" w:sz="0" w:space="0" w:color="auto"/>
            <w:right w:val="none" w:sz="0" w:space="0" w:color="auto"/>
          </w:divBdr>
        </w:div>
        <w:div w:id="195892556">
          <w:marLeft w:val="274"/>
          <w:marRight w:val="0"/>
          <w:marTop w:val="0"/>
          <w:marBottom w:val="120"/>
          <w:divBdr>
            <w:top w:val="none" w:sz="0" w:space="0" w:color="auto"/>
            <w:left w:val="none" w:sz="0" w:space="0" w:color="auto"/>
            <w:bottom w:val="none" w:sz="0" w:space="0" w:color="auto"/>
            <w:right w:val="none" w:sz="0" w:space="0" w:color="auto"/>
          </w:divBdr>
        </w:div>
        <w:div w:id="893614188">
          <w:marLeft w:val="274"/>
          <w:marRight w:val="0"/>
          <w:marTop w:val="0"/>
          <w:marBottom w:val="120"/>
          <w:divBdr>
            <w:top w:val="none" w:sz="0" w:space="0" w:color="auto"/>
            <w:left w:val="none" w:sz="0" w:space="0" w:color="auto"/>
            <w:bottom w:val="none" w:sz="0" w:space="0" w:color="auto"/>
            <w:right w:val="none" w:sz="0" w:space="0" w:color="auto"/>
          </w:divBdr>
        </w:div>
      </w:divsChild>
    </w:div>
    <w:div w:id="89281174">
      <w:bodyDiv w:val="1"/>
      <w:marLeft w:val="0"/>
      <w:marRight w:val="0"/>
      <w:marTop w:val="0"/>
      <w:marBottom w:val="0"/>
      <w:divBdr>
        <w:top w:val="none" w:sz="0" w:space="0" w:color="auto"/>
        <w:left w:val="none" w:sz="0" w:space="0" w:color="auto"/>
        <w:bottom w:val="none" w:sz="0" w:space="0" w:color="auto"/>
        <w:right w:val="none" w:sz="0" w:space="0" w:color="auto"/>
      </w:divBdr>
      <w:divsChild>
        <w:div w:id="953901944">
          <w:marLeft w:val="274"/>
          <w:marRight w:val="0"/>
          <w:marTop w:val="0"/>
          <w:marBottom w:val="120"/>
          <w:divBdr>
            <w:top w:val="none" w:sz="0" w:space="0" w:color="auto"/>
            <w:left w:val="none" w:sz="0" w:space="0" w:color="auto"/>
            <w:bottom w:val="none" w:sz="0" w:space="0" w:color="auto"/>
            <w:right w:val="none" w:sz="0" w:space="0" w:color="auto"/>
          </w:divBdr>
        </w:div>
      </w:divsChild>
    </w:div>
    <w:div w:id="125856935">
      <w:bodyDiv w:val="1"/>
      <w:marLeft w:val="0"/>
      <w:marRight w:val="0"/>
      <w:marTop w:val="0"/>
      <w:marBottom w:val="0"/>
      <w:divBdr>
        <w:top w:val="none" w:sz="0" w:space="0" w:color="auto"/>
        <w:left w:val="none" w:sz="0" w:space="0" w:color="auto"/>
        <w:bottom w:val="none" w:sz="0" w:space="0" w:color="auto"/>
        <w:right w:val="none" w:sz="0" w:space="0" w:color="auto"/>
      </w:divBdr>
      <w:divsChild>
        <w:div w:id="163016516">
          <w:marLeft w:val="274"/>
          <w:marRight w:val="0"/>
          <w:marTop w:val="0"/>
          <w:marBottom w:val="60"/>
          <w:divBdr>
            <w:top w:val="none" w:sz="0" w:space="0" w:color="auto"/>
            <w:left w:val="none" w:sz="0" w:space="0" w:color="auto"/>
            <w:bottom w:val="none" w:sz="0" w:space="0" w:color="auto"/>
            <w:right w:val="none" w:sz="0" w:space="0" w:color="auto"/>
          </w:divBdr>
        </w:div>
        <w:div w:id="530186836">
          <w:marLeft w:val="274"/>
          <w:marRight w:val="0"/>
          <w:marTop w:val="0"/>
          <w:marBottom w:val="60"/>
          <w:divBdr>
            <w:top w:val="none" w:sz="0" w:space="0" w:color="auto"/>
            <w:left w:val="none" w:sz="0" w:space="0" w:color="auto"/>
            <w:bottom w:val="none" w:sz="0" w:space="0" w:color="auto"/>
            <w:right w:val="none" w:sz="0" w:space="0" w:color="auto"/>
          </w:divBdr>
        </w:div>
        <w:div w:id="618033417">
          <w:marLeft w:val="274"/>
          <w:marRight w:val="0"/>
          <w:marTop w:val="0"/>
          <w:marBottom w:val="60"/>
          <w:divBdr>
            <w:top w:val="none" w:sz="0" w:space="0" w:color="auto"/>
            <w:left w:val="none" w:sz="0" w:space="0" w:color="auto"/>
            <w:bottom w:val="none" w:sz="0" w:space="0" w:color="auto"/>
            <w:right w:val="none" w:sz="0" w:space="0" w:color="auto"/>
          </w:divBdr>
        </w:div>
        <w:div w:id="850409328">
          <w:marLeft w:val="274"/>
          <w:marRight w:val="0"/>
          <w:marTop w:val="0"/>
          <w:marBottom w:val="60"/>
          <w:divBdr>
            <w:top w:val="none" w:sz="0" w:space="0" w:color="auto"/>
            <w:left w:val="none" w:sz="0" w:space="0" w:color="auto"/>
            <w:bottom w:val="none" w:sz="0" w:space="0" w:color="auto"/>
            <w:right w:val="none" w:sz="0" w:space="0" w:color="auto"/>
          </w:divBdr>
        </w:div>
        <w:div w:id="1434008087">
          <w:marLeft w:val="274"/>
          <w:marRight w:val="0"/>
          <w:marTop w:val="0"/>
          <w:marBottom w:val="60"/>
          <w:divBdr>
            <w:top w:val="none" w:sz="0" w:space="0" w:color="auto"/>
            <w:left w:val="none" w:sz="0" w:space="0" w:color="auto"/>
            <w:bottom w:val="none" w:sz="0" w:space="0" w:color="auto"/>
            <w:right w:val="none" w:sz="0" w:space="0" w:color="auto"/>
          </w:divBdr>
        </w:div>
        <w:div w:id="1435050890">
          <w:marLeft w:val="274"/>
          <w:marRight w:val="0"/>
          <w:marTop w:val="0"/>
          <w:marBottom w:val="60"/>
          <w:divBdr>
            <w:top w:val="none" w:sz="0" w:space="0" w:color="auto"/>
            <w:left w:val="none" w:sz="0" w:space="0" w:color="auto"/>
            <w:bottom w:val="none" w:sz="0" w:space="0" w:color="auto"/>
            <w:right w:val="none" w:sz="0" w:space="0" w:color="auto"/>
          </w:divBdr>
        </w:div>
        <w:div w:id="1683972300">
          <w:marLeft w:val="274"/>
          <w:marRight w:val="0"/>
          <w:marTop w:val="0"/>
          <w:marBottom w:val="60"/>
          <w:divBdr>
            <w:top w:val="none" w:sz="0" w:space="0" w:color="auto"/>
            <w:left w:val="none" w:sz="0" w:space="0" w:color="auto"/>
            <w:bottom w:val="none" w:sz="0" w:space="0" w:color="auto"/>
            <w:right w:val="none" w:sz="0" w:space="0" w:color="auto"/>
          </w:divBdr>
        </w:div>
      </w:divsChild>
    </w:div>
    <w:div w:id="298463035">
      <w:bodyDiv w:val="1"/>
      <w:marLeft w:val="0"/>
      <w:marRight w:val="0"/>
      <w:marTop w:val="0"/>
      <w:marBottom w:val="0"/>
      <w:divBdr>
        <w:top w:val="none" w:sz="0" w:space="0" w:color="auto"/>
        <w:left w:val="none" w:sz="0" w:space="0" w:color="auto"/>
        <w:bottom w:val="none" w:sz="0" w:space="0" w:color="auto"/>
        <w:right w:val="none" w:sz="0" w:space="0" w:color="auto"/>
      </w:divBdr>
      <w:divsChild>
        <w:div w:id="579288859">
          <w:marLeft w:val="288"/>
          <w:marRight w:val="0"/>
          <w:marTop w:val="0"/>
          <w:marBottom w:val="160"/>
          <w:divBdr>
            <w:top w:val="none" w:sz="0" w:space="0" w:color="auto"/>
            <w:left w:val="none" w:sz="0" w:space="0" w:color="auto"/>
            <w:bottom w:val="none" w:sz="0" w:space="0" w:color="auto"/>
            <w:right w:val="none" w:sz="0" w:space="0" w:color="auto"/>
          </w:divBdr>
        </w:div>
        <w:div w:id="1180390729">
          <w:marLeft w:val="288"/>
          <w:marRight w:val="0"/>
          <w:marTop w:val="0"/>
          <w:marBottom w:val="160"/>
          <w:divBdr>
            <w:top w:val="none" w:sz="0" w:space="0" w:color="auto"/>
            <w:left w:val="none" w:sz="0" w:space="0" w:color="auto"/>
            <w:bottom w:val="none" w:sz="0" w:space="0" w:color="auto"/>
            <w:right w:val="none" w:sz="0" w:space="0" w:color="auto"/>
          </w:divBdr>
        </w:div>
        <w:div w:id="2055881273">
          <w:marLeft w:val="288"/>
          <w:marRight w:val="0"/>
          <w:marTop w:val="0"/>
          <w:marBottom w:val="160"/>
          <w:divBdr>
            <w:top w:val="none" w:sz="0" w:space="0" w:color="auto"/>
            <w:left w:val="none" w:sz="0" w:space="0" w:color="auto"/>
            <w:bottom w:val="none" w:sz="0" w:space="0" w:color="auto"/>
            <w:right w:val="none" w:sz="0" w:space="0" w:color="auto"/>
          </w:divBdr>
        </w:div>
      </w:divsChild>
    </w:div>
    <w:div w:id="394082674">
      <w:bodyDiv w:val="1"/>
      <w:marLeft w:val="0"/>
      <w:marRight w:val="0"/>
      <w:marTop w:val="0"/>
      <w:marBottom w:val="0"/>
      <w:divBdr>
        <w:top w:val="none" w:sz="0" w:space="0" w:color="auto"/>
        <w:left w:val="none" w:sz="0" w:space="0" w:color="auto"/>
        <w:bottom w:val="none" w:sz="0" w:space="0" w:color="auto"/>
        <w:right w:val="none" w:sz="0" w:space="0" w:color="auto"/>
      </w:divBdr>
    </w:div>
    <w:div w:id="448206895">
      <w:bodyDiv w:val="1"/>
      <w:marLeft w:val="0"/>
      <w:marRight w:val="0"/>
      <w:marTop w:val="0"/>
      <w:marBottom w:val="0"/>
      <w:divBdr>
        <w:top w:val="none" w:sz="0" w:space="0" w:color="auto"/>
        <w:left w:val="none" w:sz="0" w:space="0" w:color="auto"/>
        <w:bottom w:val="none" w:sz="0" w:space="0" w:color="auto"/>
        <w:right w:val="none" w:sz="0" w:space="0" w:color="auto"/>
      </w:divBdr>
      <w:divsChild>
        <w:div w:id="310672805">
          <w:marLeft w:val="274"/>
          <w:marRight w:val="0"/>
          <w:marTop w:val="0"/>
          <w:marBottom w:val="120"/>
          <w:divBdr>
            <w:top w:val="none" w:sz="0" w:space="0" w:color="auto"/>
            <w:left w:val="none" w:sz="0" w:space="0" w:color="auto"/>
            <w:bottom w:val="none" w:sz="0" w:space="0" w:color="auto"/>
            <w:right w:val="none" w:sz="0" w:space="0" w:color="auto"/>
          </w:divBdr>
        </w:div>
        <w:div w:id="592712421">
          <w:marLeft w:val="274"/>
          <w:marRight w:val="0"/>
          <w:marTop w:val="0"/>
          <w:marBottom w:val="120"/>
          <w:divBdr>
            <w:top w:val="none" w:sz="0" w:space="0" w:color="auto"/>
            <w:left w:val="none" w:sz="0" w:space="0" w:color="auto"/>
            <w:bottom w:val="none" w:sz="0" w:space="0" w:color="auto"/>
            <w:right w:val="none" w:sz="0" w:space="0" w:color="auto"/>
          </w:divBdr>
        </w:div>
        <w:div w:id="671224210">
          <w:marLeft w:val="274"/>
          <w:marRight w:val="0"/>
          <w:marTop w:val="0"/>
          <w:marBottom w:val="120"/>
          <w:divBdr>
            <w:top w:val="none" w:sz="0" w:space="0" w:color="auto"/>
            <w:left w:val="none" w:sz="0" w:space="0" w:color="auto"/>
            <w:bottom w:val="none" w:sz="0" w:space="0" w:color="auto"/>
            <w:right w:val="none" w:sz="0" w:space="0" w:color="auto"/>
          </w:divBdr>
        </w:div>
      </w:divsChild>
    </w:div>
    <w:div w:id="560404961">
      <w:bodyDiv w:val="1"/>
      <w:marLeft w:val="0"/>
      <w:marRight w:val="0"/>
      <w:marTop w:val="0"/>
      <w:marBottom w:val="0"/>
      <w:divBdr>
        <w:top w:val="none" w:sz="0" w:space="0" w:color="auto"/>
        <w:left w:val="none" w:sz="0" w:space="0" w:color="auto"/>
        <w:bottom w:val="none" w:sz="0" w:space="0" w:color="auto"/>
        <w:right w:val="none" w:sz="0" w:space="0" w:color="auto"/>
      </w:divBdr>
      <w:divsChild>
        <w:div w:id="494036680">
          <w:marLeft w:val="288"/>
          <w:marRight w:val="0"/>
          <w:marTop w:val="0"/>
          <w:marBottom w:val="160"/>
          <w:divBdr>
            <w:top w:val="none" w:sz="0" w:space="0" w:color="auto"/>
            <w:left w:val="none" w:sz="0" w:space="0" w:color="auto"/>
            <w:bottom w:val="none" w:sz="0" w:space="0" w:color="auto"/>
            <w:right w:val="none" w:sz="0" w:space="0" w:color="auto"/>
          </w:divBdr>
        </w:div>
        <w:div w:id="935018274">
          <w:marLeft w:val="288"/>
          <w:marRight w:val="0"/>
          <w:marTop w:val="0"/>
          <w:marBottom w:val="160"/>
          <w:divBdr>
            <w:top w:val="none" w:sz="0" w:space="0" w:color="auto"/>
            <w:left w:val="none" w:sz="0" w:space="0" w:color="auto"/>
            <w:bottom w:val="none" w:sz="0" w:space="0" w:color="auto"/>
            <w:right w:val="none" w:sz="0" w:space="0" w:color="auto"/>
          </w:divBdr>
        </w:div>
        <w:div w:id="1943100593">
          <w:marLeft w:val="288"/>
          <w:marRight w:val="0"/>
          <w:marTop w:val="0"/>
          <w:marBottom w:val="160"/>
          <w:divBdr>
            <w:top w:val="none" w:sz="0" w:space="0" w:color="auto"/>
            <w:left w:val="none" w:sz="0" w:space="0" w:color="auto"/>
            <w:bottom w:val="none" w:sz="0" w:space="0" w:color="auto"/>
            <w:right w:val="none" w:sz="0" w:space="0" w:color="auto"/>
          </w:divBdr>
        </w:div>
      </w:divsChild>
    </w:div>
    <w:div w:id="599879060">
      <w:bodyDiv w:val="1"/>
      <w:marLeft w:val="0"/>
      <w:marRight w:val="0"/>
      <w:marTop w:val="0"/>
      <w:marBottom w:val="0"/>
      <w:divBdr>
        <w:top w:val="none" w:sz="0" w:space="0" w:color="auto"/>
        <w:left w:val="none" w:sz="0" w:space="0" w:color="auto"/>
        <w:bottom w:val="none" w:sz="0" w:space="0" w:color="auto"/>
        <w:right w:val="none" w:sz="0" w:space="0" w:color="auto"/>
      </w:divBdr>
      <w:divsChild>
        <w:div w:id="288584944">
          <w:marLeft w:val="274"/>
          <w:marRight w:val="0"/>
          <w:marTop w:val="0"/>
          <w:marBottom w:val="40"/>
          <w:divBdr>
            <w:top w:val="none" w:sz="0" w:space="0" w:color="auto"/>
            <w:left w:val="none" w:sz="0" w:space="0" w:color="auto"/>
            <w:bottom w:val="none" w:sz="0" w:space="0" w:color="auto"/>
            <w:right w:val="none" w:sz="0" w:space="0" w:color="auto"/>
          </w:divBdr>
        </w:div>
        <w:div w:id="324280447">
          <w:marLeft w:val="274"/>
          <w:marRight w:val="0"/>
          <w:marTop w:val="0"/>
          <w:marBottom w:val="40"/>
          <w:divBdr>
            <w:top w:val="none" w:sz="0" w:space="0" w:color="auto"/>
            <w:left w:val="none" w:sz="0" w:space="0" w:color="auto"/>
            <w:bottom w:val="none" w:sz="0" w:space="0" w:color="auto"/>
            <w:right w:val="none" w:sz="0" w:space="0" w:color="auto"/>
          </w:divBdr>
        </w:div>
        <w:div w:id="673846247">
          <w:marLeft w:val="274"/>
          <w:marRight w:val="0"/>
          <w:marTop w:val="0"/>
          <w:marBottom w:val="40"/>
          <w:divBdr>
            <w:top w:val="none" w:sz="0" w:space="0" w:color="auto"/>
            <w:left w:val="none" w:sz="0" w:space="0" w:color="auto"/>
            <w:bottom w:val="none" w:sz="0" w:space="0" w:color="auto"/>
            <w:right w:val="none" w:sz="0" w:space="0" w:color="auto"/>
          </w:divBdr>
        </w:div>
        <w:div w:id="1025130081">
          <w:marLeft w:val="274"/>
          <w:marRight w:val="0"/>
          <w:marTop w:val="0"/>
          <w:marBottom w:val="40"/>
          <w:divBdr>
            <w:top w:val="none" w:sz="0" w:space="0" w:color="auto"/>
            <w:left w:val="none" w:sz="0" w:space="0" w:color="auto"/>
            <w:bottom w:val="none" w:sz="0" w:space="0" w:color="auto"/>
            <w:right w:val="none" w:sz="0" w:space="0" w:color="auto"/>
          </w:divBdr>
        </w:div>
        <w:div w:id="1042945310">
          <w:marLeft w:val="274"/>
          <w:marRight w:val="0"/>
          <w:marTop w:val="0"/>
          <w:marBottom w:val="40"/>
          <w:divBdr>
            <w:top w:val="none" w:sz="0" w:space="0" w:color="auto"/>
            <w:left w:val="none" w:sz="0" w:space="0" w:color="auto"/>
            <w:bottom w:val="none" w:sz="0" w:space="0" w:color="auto"/>
            <w:right w:val="none" w:sz="0" w:space="0" w:color="auto"/>
          </w:divBdr>
        </w:div>
        <w:div w:id="1604999298">
          <w:marLeft w:val="274"/>
          <w:marRight w:val="0"/>
          <w:marTop w:val="0"/>
          <w:marBottom w:val="40"/>
          <w:divBdr>
            <w:top w:val="none" w:sz="0" w:space="0" w:color="auto"/>
            <w:left w:val="none" w:sz="0" w:space="0" w:color="auto"/>
            <w:bottom w:val="none" w:sz="0" w:space="0" w:color="auto"/>
            <w:right w:val="none" w:sz="0" w:space="0" w:color="auto"/>
          </w:divBdr>
        </w:div>
        <w:div w:id="1659993042">
          <w:marLeft w:val="274"/>
          <w:marRight w:val="0"/>
          <w:marTop w:val="0"/>
          <w:marBottom w:val="40"/>
          <w:divBdr>
            <w:top w:val="none" w:sz="0" w:space="0" w:color="auto"/>
            <w:left w:val="none" w:sz="0" w:space="0" w:color="auto"/>
            <w:bottom w:val="none" w:sz="0" w:space="0" w:color="auto"/>
            <w:right w:val="none" w:sz="0" w:space="0" w:color="auto"/>
          </w:divBdr>
        </w:div>
        <w:div w:id="1702053907">
          <w:marLeft w:val="274"/>
          <w:marRight w:val="0"/>
          <w:marTop w:val="0"/>
          <w:marBottom w:val="40"/>
          <w:divBdr>
            <w:top w:val="none" w:sz="0" w:space="0" w:color="auto"/>
            <w:left w:val="none" w:sz="0" w:space="0" w:color="auto"/>
            <w:bottom w:val="none" w:sz="0" w:space="0" w:color="auto"/>
            <w:right w:val="none" w:sz="0" w:space="0" w:color="auto"/>
          </w:divBdr>
        </w:div>
        <w:div w:id="1873229790">
          <w:marLeft w:val="274"/>
          <w:marRight w:val="0"/>
          <w:marTop w:val="0"/>
          <w:marBottom w:val="40"/>
          <w:divBdr>
            <w:top w:val="none" w:sz="0" w:space="0" w:color="auto"/>
            <w:left w:val="none" w:sz="0" w:space="0" w:color="auto"/>
            <w:bottom w:val="none" w:sz="0" w:space="0" w:color="auto"/>
            <w:right w:val="none" w:sz="0" w:space="0" w:color="auto"/>
          </w:divBdr>
        </w:div>
      </w:divsChild>
    </w:div>
    <w:div w:id="645010739">
      <w:bodyDiv w:val="1"/>
      <w:marLeft w:val="0"/>
      <w:marRight w:val="0"/>
      <w:marTop w:val="0"/>
      <w:marBottom w:val="0"/>
      <w:divBdr>
        <w:top w:val="none" w:sz="0" w:space="0" w:color="auto"/>
        <w:left w:val="none" w:sz="0" w:space="0" w:color="auto"/>
        <w:bottom w:val="none" w:sz="0" w:space="0" w:color="auto"/>
        <w:right w:val="none" w:sz="0" w:space="0" w:color="auto"/>
      </w:divBdr>
      <w:divsChild>
        <w:div w:id="998115546">
          <w:marLeft w:val="274"/>
          <w:marRight w:val="0"/>
          <w:marTop w:val="0"/>
          <w:marBottom w:val="120"/>
          <w:divBdr>
            <w:top w:val="none" w:sz="0" w:space="0" w:color="auto"/>
            <w:left w:val="none" w:sz="0" w:space="0" w:color="auto"/>
            <w:bottom w:val="none" w:sz="0" w:space="0" w:color="auto"/>
            <w:right w:val="none" w:sz="0" w:space="0" w:color="auto"/>
          </w:divBdr>
        </w:div>
      </w:divsChild>
    </w:div>
    <w:div w:id="669482974">
      <w:bodyDiv w:val="1"/>
      <w:marLeft w:val="0"/>
      <w:marRight w:val="0"/>
      <w:marTop w:val="0"/>
      <w:marBottom w:val="0"/>
      <w:divBdr>
        <w:top w:val="none" w:sz="0" w:space="0" w:color="auto"/>
        <w:left w:val="none" w:sz="0" w:space="0" w:color="auto"/>
        <w:bottom w:val="none" w:sz="0" w:space="0" w:color="auto"/>
        <w:right w:val="none" w:sz="0" w:space="0" w:color="auto"/>
      </w:divBdr>
    </w:div>
    <w:div w:id="676158311">
      <w:bodyDiv w:val="1"/>
      <w:marLeft w:val="0"/>
      <w:marRight w:val="0"/>
      <w:marTop w:val="0"/>
      <w:marBottom w:val="0"/>
      <w:divBdr>
        <w:top w:val="none" w:sz="0" w:space="0" w:color="auto"/>
        <w:left w:val="none" w:sz="0" w:space="0" w:color="auto"/>
        <w:bottom w:val="none" w:sz="0" w:space="0" w:color="auto"/>
        <w:right w:val="none" w:sz="0" w:space="0" w:color="auto"/>
      </w:divBdr>
    </w:div>
    <w:div w:id="724181269">
      <w:bodyDiv w:val="1"/>
      <w:marLeft w:val="0"/>
      <w:marRight w:val="0"/>
      <w:marTop w:val="0"/>
      <w:marBottom w:val="0"/>
      <w:divBdr>
        <w:top w:val="none" w:sz="0" w:space="0" w:color="auto"/>
        <w:left w:val="none" w:sz="0" w:space="0" w:color="auto"/>
        <w:bottom w:val="none" w:sz="0" w:space="0" w:color="auto"/>
        <w:right w:val="none" w:sz="0" w:space="0" w:color="auto"/>
      </w:divBdr>
      <w:divsChild>
        <w:div w:id="546063676">
          <w:marLeft w:val="288"/>
          <w:marRight w:val="0"/>
          <w:marTop w:val="0"/>
          <w:marBottom w:val="120"/>
          <w:divBdr>
            <w:top w:val="none" w:sz="0" w:space="0" w:color="auto"/>
            <w:left w:val="none" w:sz="0" w:space="0" w:color="auto"/>
            <w:bottom w:val="none" w:sz="0" w:space="0" w:color="auto"/>
            <w:right w:val="none" w:sz="0" w:space="0" w:color="auto"/>
          </w:divBdr>
        </w:div>
        <w:div w:id="781994127">
          <w:marLeft w:val="288"/>
          <w:marRight w:val="0"/>
          <w:marTop w:val="0"/>
          <w:marBottom w:val="120"/>
          <w:divBdr>
            <w:top w:val="none" w:sz="0" w:space="0" w:color="auto"/>
            <w:left w:val="none" w:sz="0" w:space="0" w:color="auto"/>
            <w:bottom w:val="none" w:sz="0" w:space="0" w:color="auto"/>
            <w:right w:val="none" w:sz="0" w:space="0" w:color="auto"/>
          </w:divBdr>
        </w:div>
        <w:div w:id="1203984459">
          <w:marLeft w:val="288"/>
          <w:marRight w:val="0"/>
          <w:marTop w:val="0"/>
          <w:marBottom w:val="120"/>
          <w:divBdr>
            <w:top w:val="none" w:sz="0" w:space="0" w:color="auto"/>
            <w:left w:val="none" w:sz="0" w:space="0" w:color="auto"/>
            <w:bottom w:val="none" w:sz="0" w:space="0" w:color="auto"/>
            <w:right w:val="none" w:sz="0" w:space="0" w:color="auto"/>
          </w:divBdr>
        </w:div>
        <w:div w:id="1300302168">
          <w:marLeft w:val="288"/>
          <w:marRight w:val="0"/>
          <w:marTop w:val="0"/>
          <w:marBottom w:val="120"/>
          <w:divBdr>
            <w:top w:val="none" w:sz="0" w:space="0" w:color="auto"/>
            <w:left w:val="none" w:sz="0" w:space="0" w:color="auto"/>
            <w:bottom w:val="none" w:sz="0" w:space="0" w:color="auto"/>
            <w:right w:val="none" w:sz="0" w:space="0" w:color="auto"/>
          </w:divBdr>
        </w:div>
        <w:div w:id="1574198676">
          <w:marLeft w:val="288"/>
          <w:marRight w:val="0"/>
          <w:marTop w:val="0"/>
          <w:marBottom w:val="120"/>
          <w:divBdr>
            <w:top w:val="none" w:sz="0" w:space="0" w:color="auto"/>
            <w:left w:val="none" w:sz="0" w:space="0" w:color="auto"/>
            <w:bottom w:val="none" w:sz="0" w:space="0" w:color="auto"/>
            <w:right w:val="none" w:sz="0" w:space="0" w:color="auto"/>
          </w:divBdr>
        </w:div>
        <w:div w:id="1723867350">
          <w:marLeft w:val="288"/>
          <w:marRight w:val="0"/>
          <w:marTop w:val="0"/>
          <w:marBottom w:val="120"/>
          <w:divBdr>
            <w:top w:val="none" w:sz="0" w:space="0" w:color="auto"/>
            <w:left w:val="none" w:sz="0" w:space="0" w:color="auto"/>
            <w:bottom w:val="none" w:sz="0" w:space="0" w:color="auto"/>
            <w:right w:val="none" w:sz="0" w:space="0" w:color="auto"/>
          </w:divBdr>
        </w:div>
      </w:divsChild>
    </w:div>
    <w:div w:id="729690100">
      <w:bodyDiv w:val="1"/>
      <w:marLeft w:val="0"/>
      <w:marRight w:val="0"/>
      <w:marTop w:val="0"/>
      <w:marBottom w:val="0"/>
      <w:divBdr>
        <w:top w:val="none" w:sz="0" w:space="0" w:color="auto"/>
        <w:left w:val="none" w:sz="0" w:space="0" w:color="auto"/>
        <w:bottom w:val="none" w:sz="0" w:space="0" w:color="auto"/>
        <w:right w:val="none" w:sz="0" w:space="0" w:color="auto"/>
      </w:divBdr>
      <w:divsChild>
        <w:div w:id="69736936">
          <w:marLeft w:val="274"/>
          <w:marRight w:val="0"/>
          <w:marTop w:val="0"/>
          <w:marBottom w:val="40"/>
          <w:divBdr>
            <w:top w:val="none" w:sz="0" w:space="0" w:color="auto"/>
            <w:left w:val="none" w:sz="0" w:space="0" w:color="auto"/>
            <w:bottom w:val="none" w:sz="0" w:space="0" w:color="auto"/>
            <w:right w:val="none" w:sz="0" w:space="0" w:color="auto"/>
          </w:divBdr>
        </w:div>
        <w:div w:id="229464945">
          <w:marLeft w:val="274"/>
          <w:marRight w:val="0"/>
          <w:marTop w:val="0"/>
          <w:marBottom w:val="40"/>
          <w:divBdr>
            <w:top w:val="none" w:sz="0" w:space="0" w:color="auto"/>
            <w:left w:val="none" w:sz="0" w:space="0" w:color="auto"/>
            <w:bottom w:val="none" w:sz="0" w:space="0" w:color="auto"/>
            <w:right w:val="none" w:sz="0" w:space="0" w:color="auto"/>
          </w:divBdr>
        </w:div>
        <w:div w:id="359863603">
          <w:marLeft w:val="274"/>
          <w:marRight w:val="0"/>
          <w:marTop w:val="0"/>
          <w:marBottom w:val="40"/>
          <w:divBdr>
            <w:top w:val="none" w:sz="0" w:space="0" w:color="auto"/>
            <w:left w:val="none" w:sz="0" w:space="0" w:color="auto"/>
            <w:bottom w:val="none" w:sz="0" w:space="0" w:color="auto"/>
            <w:right w:val="none" w:sz="0" w:space="0" w:color="auto"/>
          </w:divBdr>
        </w:div>
        <w:div w:id="571702672">
          <w:marLeft w:val="274"/>
          <w:marRight w:val="0"/>
          <w:marTop w:val="0"/>
          <w:marBottom w:val="40"/>
          <w:divBdr>
            <w:top w:val="none" w:sz="0" w:space="0" w:color="auto"/>
            <w:left w:val="none" w:sz="0" w:space="0" w:color="auto"/>
            <w:bottom w:val="none" w:sz="0" w:space="0" w:color="auto"/>
            <w:right w:val="none" w:sz="0" w:space="0" w:color="auto"/>
          </w:divBdr>
        </w:div>
        <w:div w:id="582420115">
          <w:marLeft w:val="274"/>
          <w:marRight w:val="0"/>
          <w:marTop w:val="0"/>
          <w:marBottom w:val="40"/>
          <w:divBdr>
            <w:top w:val="none" w:sz="0" w:space="0" w:color="auto"/>
            <w:left w:val="none" w:sz="0" w:space="0" w:color="auto"/>
            <w:bottom w:val="none" w:sz="0" w:space="0" w:color="auto"/>
            <w:right w:val="none" w:sz="0" w:space="0" w:color="auto"/>
          </w:divBdr>
        </w:div>
        <w:div w:id="843277826">
          <w:marLeft w:val="274"/>
          <w:marRight w:val="0"/>
          <w:marTop w:val="0"/>
          <w:marBottom w:val="40"/>
          <w:divBdr>
            <w:top w:val="none" w:sz="0" w:space="0" w:color="auto"/>
            <w:left w:val="none" w:sz="0" w:space="0" w:color="auto"/>
            <w:bottom w:val="none" w:sz="0" w:space="0" w:color="auto"/>
            <w:right w:val="none" w:sz="0" w:space="0" w:color="auto"/>
          </w:divBdr>
        </w:div>
        <w:div w:id="966349060">
          <w:marLeft w:val="274"/>
          <w:marRight w:val="0"/>
          <w:marTop w:val="0"/>
          <w:marBottom w:val="40"/>
          <w:divBdr>
            <w:top w:val="none" w:sz="0" w:space="0" w:color="auto"/>
            <w:left w:val="none" w:sz="0" w:space="0" w:color="auto"/>
            <w:bottom w:val="none" w:sz="0" w:space="0" w:color="auto"/>
            <w:right w:val="none" w:sz="0" w:space="0" w:color="auto"/>
          </w:divBdr>
        </w:div>
        <w:div w:id="972517588">
          <w:marLeft w:val="274"/>
          <w:marRight w:val="0"/>
          <w:marTop w:val="0"/>
          <w:marBottom w:val="40"/>
          <w:divBdr>
            <w:top w:val="none" w:sz="0" w:space="0" w:color="auto"/>
            <w:left w:val="none" w:sz="0" w:space="0" w:color="auto"/>
            <w:bottom w:val="none" w:sz="0" w:space="0" w:color="auto"/>
            <w:right w:val="none" w:sz="0" w:space="0" w:color="auto"/>
          </w:divBdr>
        </w:div>
        <w:div w:id="1871916425">
          <w:marLeft w:val="274"/>
          <w:marRight w:val="0"/>
          <w:marTop w:val="0"/>
          <w:marBottom w:val="40"/>
          <w:divBdr>
            <w:top w:val="none" w:sz="0" w:space="0" w:color="auto"/>
            <w:left w:val="none" w:sz="0" w:space="0" w:color="auto"/>
            <w:bottom w:val="none" w:sz="0" w:space="0" w:color="auto"/>
            <w:right w:val="none" w:sz="0" w:space="0" w:color="auto"/>
          </w:divBdr>
        </w:div>
      </w:divsChild>
    </w:div>
    <w:div w:id="801845885">
      <w:bodyDiv w:val="1"/>
      <w:marLeft w:val="0"/>
      <w:marRight w:val="0"/>
      <w:marTop w:val="0"/>
      <w:marBottom w:val="0"/>
      <w:divBdr>
        <w:top w:val="none" w:sz="0" w:space="0" w:color="auto"/>
        <w:left w:val="none" w:sz="0" w:space="0" w:color="auto"/>
        <w:bottom w:val="none" w:sz="0" w:space="0" w:color="auto"/>
        <w:right w:val="none" w:sz="0" w:space="0" w:color="auto"/>
      </w:divBdr>
    </w:div>
    <w:div w:id="812676272">
      <w:bodyDiv w:val="1"/>
      <w:marLeft w:val="0"/>
      <w:marRight w:val="0"/>
      <w:marTop w:val="0"/>
      <w:marBottom w:val="0"/>
      <w:divBdr>
        <w:top w:val="none" w:sz="0" w:space="0" w:color="auto"/>
        <w:left w:val="none" w:sz="0" w:space="0" w:color="auto"/>
        <w:bottom w:val="none" w:sz="0" w:space="0" w:color="auto"/>
        <w:right w:val="none" w:sz="0" w:space="0" w:color="auto"/>
      </w:divBdr>
    </w:div>
    <w:div w:id="851190575">
      <w:bodyDiv w:val="1"/>
      <w:marLeft w:val="0"/>
      <w:marRight w:val="0"/>
      <w:marTop w:val="0"/>
      <w:marBottom w:val="0"/>
      <w:divBdr>
        <w:top w:val="none" w:sz="0" w:space="0" w:color="auto"/>
        <w:left w:val="none" w:sz="0" w:space="0" w:color="auto"/>
        <w:bottom w:val="none" w:sz="0" w:space="0" w:color="auto"/>
        <w:right w:val="none" w:sz="0" w:space="0" w:color="auto"/>
      </w:divBdr>
      <w:divsChild>
        <w:div w:id="263920962">
          <w:marLeft w:val="274"/>
          <w:marRight w:val="0"/>
          <w:marTop w:val="0"/>
          <w:marBottom w:val="40"/>
          <w:divBdr>
            <w:top w:val="none" w:sz="0" w:space="0" w:color="auto"/>
            <w:left w:val="none" w:sz="0" w:space="0" w:color="auto"/>
            <w:bottom w:val="none" w:sz="0" w:space="0" w:color="auto"/>
            <w:right w:val="none" w:sz="0" w:space="0" w:color="auto"/>
          </w:divBdr>
        </w:div>
        <w:div w:id="434785042">
          <w:marLeft w:val="274"/>
          <w:marRight w:val="0"/>
          <w:marTop w:val="0"/>
          <w:marBottom w:val="40"/>
          <w:divBdr>
            <w:top w:val="none" w:sz="0" w:space="0" w:color="auto"/>
            <w:left w:val="none" w:sz="0" w:space="0" w:color="auto"/>
            <w:bottom w:val="none" w:sz="0" w:space="0" w:color="auto"/>
            <w:right w:val="none" w:sz="0" w:space="0" w:color="auto"/>
          </w:divBdr>
        </w:div>
        <w:div w:id="681929603">
          <w:marLeft w:val="274"/>
          <w:marRight w:val="0"/>
          <w:marTop w:val="0"/>
          <w:marBottom w:val="40"/>
          <w:divBdr>
            <w:top w:val="none" w:sz="0" w:space="0" w:color="auto"/>
            <w:left w:val="none" w:sz="0" w:space="0" w:color="auto"/>
            <w:bottom w:val="none" w:sz="0" w:space="0" w:color="auto"/>
            <w:right w:val="none" w:sz="0" w:space="0" w:color="auto"/>
          </w:divBdr>
        </w:div>
        <w:div w:id="843861711">
          <w:marLeft w:val="274"/>
          <w:marRight w:val="0"/>
          <w:marTop w:val="0"/>
          <w:marBottom w:val="40"/>
          <w:divBdr>
            <w:top w:val="none" w:sz="0" w:space="0" w:color="auto"/>
            <w:left w:val="none" w:sz="0" w:space="0" w:color="auto"/>
            <w:bottom w:val="none" w:sz="0" w:space="0" w:color="auto"/>
            <w:right w:val="none" w:sz="0" w:space="0" w:color="auto"/>
          </w:divBdr>
        </w:div>
        <w:div w:id="1062556474">
          <w:marLeft w:val="274"/>
          <w:marRight w:val="0"/>
          <w:marTop w:val="0"/>
          <w:marBottom w:val="40"/>
          <w:divBdr>
            <w:top w:val="none" w:sz="0" w:space="0" w:color="auto"/>
            <w:left w:val="none" w:sz="0" w:space="0" w:color="auto"/>
            <w:bottom w:val="none" w:sz="0" w:space="0" w:color="auto"/>
            <w:right w:val="none" w:sz="0" w:space="0" w:color="auto"/>
          </w:divBdr>
        </w:div>
        <w:div w:id="1751198154">
          <w:marLeft w:val="274"/>
          <w:marRight w:val="0"/>
          <w:marTop w:val="0"/>
          <w:marBottom w:val="40"/>
          <w:divBdr>
            <w:top w:val="none" w:sz="0" w:space="0" w:color="auto"/>
            <w:left w:val="none" w:sz="0" w:space="0" w:color="auto"/>
            <w:bottom w:val="none" w:sz="0" w:space="0" w:color="auto"/>
            <w:right w:val="none" w:sz="0" w:space="0" w:color="auto"/>
          </w:divBdr>
        </w:div>
        <w:div w:id="1817450114">
          <w:marLeft w:val="274"/>
          <w:marRight w:val="0"/>
          <w:marTop w:val="0"/>
          <w:marBottom w:val="40"/>
          <w:divBdr>
            <w:top w:val="none" w:sz="0" w:space="0" w:color="auto"/>
            <w:left w:val="none" w:sz="0" w:space="0" w:color="auto"/>
            <w:bottom w:val="none" w:sz="0" w:space="0" w:color="auto"/>
            <w:right w:val="none" w:sz="0" w:space="0" w:color="auto"/>
          </w:divBdr>
        </w:div>
        <w:div w:id="1847986697">
          <w:marLeft w:val="274"/>
          <w:marRight w:val="0"/>
          <w:marTop w:val="0"/>
          <w:marBottom w:val="40"/>
          <w:divBdr>
            <w:top w:val="none" w:sz="0" w:space="0" w:color="auto"/>
            <w:left w:val="none" w:sz="0" w:space="0" w:color="auto"/>
            <w:bottom w:val="none" w:sz="0" w:space="0" w:color="auto"/>
            <w:right w:val="none" w:sz="0" w:space="0" w:color="auto"/>
          </w:divBdr>
        </w:div>
      </w:divsChild>
    </w:div>
    <w:div w:id="915819431">
      <w:bodyDiv w:val="1"/>
      <w:marLeft w:val="0"/>
      <w:marRight w:val="0"/>
      <w:marTop w:val="0"/>
      <w:marBottom w:val="0"/>
      <w:divBdr>
        <w:top w:val="none" w:sz="0" w:space="0" w:color="auto"/>
        <w:left w:val="none" w:sz="0" w:space="0" w:color="auto"/>
        <w:bottom w:val="none" w:sz="0" w:space="0" w:color="auto"/>
        <w:right w:val="none" w:sz="0" w:space="0" w:color="auto"/>
      </w:divBdr>
      <w:divsChild>
        <w:div w:id="282270073">
          <w:marLeft w:val="274"/>
          <w:marRight w:val="0"/>
          <w:marTop w:val="0"/>
          <w:marBottom w:val="120"/>
          <w:divBdr>
            <w:top w:val="none" w:sz="0" w:space="0" w:color="auto"/>
            <w:left w:val="none" w:sz="0" w:space="0" w:color="auto"/>
            <w:bottom w:val="none" w:sz="0" w:space="0" w:color="auto"/>
            <w:right w:val="none" w:sz="0" w:space="0" w:color="auto"/>
          </w:divBdr>
        </w:div>
        <w:div w:id="588587197">
          <w:marLeft w:val="274"/>
          <w:marRight w:val="0"/>
          <w:marTop w:val="0"/>
          <w:marBottom w:val="120"/>
          <w:divBdr>
            <w:top w:val="none" w:sz="0" w:space="0" w:color="auto"/>
            <w:left w:val="none" w:sz="0" w:space="0" w:color="auto"/>
            <w:bottom w:val="none" w:sz="0" w:space="0" w:color="auto"/>
            <w:right w:val="none" w:sz="0" w:space="0" w:color="auto"/>
          </w:divBdr>
        </w:div>
      </w:divsChild>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sChild>
        <w:div w:id="1479876388">
          <w:marLeft w:val="274"/>
          <w:marRight w:val="0"/>
          <w:marTop w:val="0"/>
          <w:marBottom w:val="120"/>
          <w:divBdr>
            <w:top w:val="none" w:sz="0" w:space="0" w:color="auto"/>
            <w:left w:val="none" w:sz="0" w:space="0" w:color="auto"/>
            <w:bottom w:val="none" w:sz="0" w:space="0" w:color="auto"/>
            <w:right w:val="none" w:sz="0" w:space="0" w:color="auto"/>
          </w:divBdr>
        </w:div>
        <w:div w:id="1923371396">
          <w:marLeft w:val="274"/>
          <w:marRight w:val="0"/>
          <w:marTop w:val="0"/>
          <w:marBottom w:val="120"/>
          <w:divBdr>
            <w:top w:val="none" w:sz="0" w:space="0" w:color="auto"/>
            <w:left w:val="none" w:sz="0" w:space="0" w:color="auto"/>
            <w:bottom w:val="none" w:sz="0" w:space="0" w:color="auto"/>
            <w:right w:val="none" w:sz="0" w:space="0" w:color="auto"/>
          </w:divBdr>
        </w:div>
      </w:divsChild>
    </w:div>
    <w:div w:id="1117338231">
      <w:bodyDiv w:val="1"/>
      <w:marLeft w:val="0"/>
      <w:marRight w:val="0"/>
      <w:marTop w:val="0"/>
      <w:marBottom w:val="0"/>
      <w:divBdr>
        <w:top w:val="none" w:sz="0" w:space="0" w:color="auto"/>
        <w:left w:val="none" w:sz="0" w:space="0" w:color="auto"/>
        <w:bottom w:val="none" w:sz="0" w:space="0" w:color="auto"/>
        <w:right w:val="none" w:sz="0" w:space="0" w:color="auto"/>
      </w:divBdr>
      <w:divsChild>
        <w:div w:id="270281080">
          <w:marLeft w:val="274"/>
          <w:marRight w:val="0"/>
          <w:marTop w:val="0"/>
          <w:marBottom w:val="120"/>
          <w:divBdr>
            <w:top w:val="none" w:sz="0" w:space="0" w:color="auto"/>
            <w:left w:val="none" w:sz="0" w:space="0" w:color="auto"/>
            <w:bottom w:val="none" w:sz="0" w:space="0" w:color="auto"/>
            <w:right w:val="none" w:sz="0" w:space="0" w:color="auto"/>
          </w:divBdr>
        </w:div>
        <w:div w:id="276914657">
          <w:marLeft w:val="274"/>
          <w:marRight w:val="0"/>
          <w:marTop w:val="0"/>
          <w:marBottom w:val="120"/>
          <w:divBdr>
            <w:top w:val="none" w:sz="0" w:space="0" w:color="auto"/>
            <w:left w:val="none" w:sz="0" w:space="0" w:color="auto"/>
            <w:bottom w:val="none" w:sz="0" w:space="0" w:color="auto"/>
            <w:right w:val="none" w:sz="0" w:space="0" w:color="auto"/>
          </w:divBdr>
        </w:div>
        <w:div w:id="1240554011">
          <w:marLeft w:val="274"/>
          <w:marRight w:val="0"/>
          <w:marTop w:val="0"/>
          <w:marBottom w:val="120"/>
          <w:divBdr>
            <w:top w:val="none" w:sz="0" w:space="0" w:color="auto"/>
            <w:left w:val="none" w:sz="0" w:space="0" w:color="auto"/>
            <w:bottom w:val="none" w:sz="0" w:space="0" w:color="auto"/>
            <w:right w:val="none" w:sz="0" w:space="0" w:color="auto"/>
          </w:divBdr>
        </w:div>
        <w:div w:id="1370836516">
          <w:marLeft w:val="274"/>
          <w:marRight w:val="0"/>
          <w:marTop w:val="0"/>
          <w:marBottom w:val="120"/>
          <w:divBdr>
            <w:top w:val="none" w:sz="0" w:space="0" w:color="auto"/>
            <w:left w:val="none" w:sz="0" w:space="0" w:color="auto"/>
            <w:bottom w:val="none" w:sz="0" w:space="0" w:color="auto"/>
            <w:right w:val="none" w:sz="0" w:space="0" w:color="auto"/>
          </w:divBdr>
        </w:div>
        <w:div w:id="1691644705">
          <w:marLeft w:val="274"/>
          <w:marRight w:val="0"/>
          <w:marTop w:val="0"/>
          <w:marBottom w:val="120"/>
          <w:divBdr>
            <w:top w:val="none" w:sz="0" w:space="0" w:color="auto"/>
            <w:left w:val="none" w:sz="0" w:space="0" w:color="auto"/>
            <w:bottom w:val="none" w:sz="0" w:space="0" w:color="auto"/>
            <w:right w:val="none" w:sz="0" w:space="0" w:color="auto"/>
          </w:divBdr>
        </w:div>
        <w:div w:id="1851677017">
          <w:marLeft w:val="274"/>
          <w:marRight w:val="0"/>
          <w:marTop w:val="0"/>
          <w:marBottom w:val="120"/>
          <w:divBdr>
            <w:top w:val="none" w:sz="0" w:space="0" w:color="auto"/>
            <w:left w:val="none" w:sz="0" w:space="0" w:color="auto"/>
            <w:bottom w:val="none" w:sz="0" w:space="0" w:color="auto"/>
            <w:right w:val="none" w:sz="0" w:space="0" w:color="auto"/>
          </w:divBdr>
        </w:div>
      </w:divsChild>
    </w:div>
    <w:div w:id="1148550103">
      <w:bodyDiv w:val="1"/>
      <w:marLeft w:val="0"/>
      <w:marRight w:val="0"/>
      <w:marTop w:val="0"/>
      <w:marBottom w:val="0"/>
      <w:divBdr>
        <w:top w:val="none" w:sz="0" w:space="0" w:color="auto"/>
        <w:left w:val="none" w:sz="0" w:space="0" w:color="auto"/>
        <w:bottom w:val="none" w:sz="0" w:space="0" w:color="auto"/>
        <w:right w:val="none" w:sz="0" w:space="0" w:color="auto"/>
      </w:divBdr>
      <w:divsChild>
        <w:div w:id="368998451">
          <w:marLeft w:val="274"/>
          <w:marRight w:val="0"/>
          <w:marTop w:val="0"/>
          <w:marBottom w:val="120"/>
          <w:divBdr>
            <w:top w:val="none" w:sz="0" w:space="0" w:color="auto"/>
            <w:left w:val="none" w:sz="0" w:space="0" w:color="auto"/>
            <w:bottom w:val="none" w:sz="0" w:space="0" w:color="auto"/>
            <w:right w:val="none" w:sz="0" w:space="0" w:color="auto"/>
          </w:divBdr>
        </w:div>
        <w:div w:id="1745375093">
          <w:marLeft w:val="274"/>
          <w:marRight w:val="0"/>
          <w:marTop w:val="0"/>
          <w:marBottom w:val="120"/>
          <w:divBdr>
            <w:top w:val="none" w:sz="0" w:space="0" w:color="auto"/>
            <w:left w:val="none" w:sz="0" w:space="0" w:color="auto"/>
            <w:bottom w:val="none" w:sz="0" w:space="0" w:color="auto"/>
            <w:right w:val="none" w:sz="0" w:space="0" w:color="auto"/>
          </w:divBdr>
        </w:div>
        <w:div w:id="2119400719">
          <w:marLeft w:val="274"/>
          <w:marRight w:val="0"/>
          <w:marTop w:val="0"/>
          <w:marBottom w:val="120"/>
          <w:divBdr>
            <w:top w:val="none" w:sz="0" w:space="0" w:color="auto"/>
            <w:left w:val="none" w:sz="0" w:space="0" w:color="auto"/>
            <w:bottom w:val="none" w:sz="0" w:space="0" w:color="auto"/>
            <w:right w:val="none" w:sz="0" w:space="0" w:color="auto"/>
          </w:divBdr>
        </w:div>
      </w:divsChild>
    </w:div>
    <w:div w:id="1152482526">
      <w:bodyDiv w:val="1"/>
      <w:marLeft w:val="0"/>
      <w:marRight w:val="0"/>
      <w:marTop w:val="0"/>
      <w:marBottom w:val="0"/>
      <w:divBdr>
        <w:top w:val="none" w:sz="0" w:space="0" w:color="auto"/>
        <w:left w:val="none" w:sz="0" w:space="0" w:color="auto"/>
        <w:bottom w:val="none" w:sz="0" w:space="0" w:color="auto"/>
        <w:right w:val="none" w:sz="0" w:space="0" w:color="auto"/>
      </w:divBdr>
    </w:div>
    <w:div w:id="116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00638294">
          <w:marLeft w:val="274"/>
          <w:marRight w:val="0"/>
          <w:marTop w:val="0"/>
          <w:marBottom w:val="120"/>
          <w:divBdr>
            <w:top w:val="none" w:sz="0" w:space="0" w:color="auto"/>
            <w:left w:val="none" w:sz="0" w:space="0" w:color="auto"/>
            <w:bottom w:val="none" w:sz="0" w:space="0" w:color="auto"/>
            <w:right w:val="none" w:sz="0" w:space="0" w:color="auto"/>
          </w:divBdr>
        </w:div>
      </w:divsChild>
    </w:div>
    <w:div w:id="1165975027">
      <w:bodyDiv w:val="1"/>
      <w:marLeft w:val="0"/>
      <w:marRight w:val="0"/>
      <w:marTop w:val="0"/>
      <w:marBottom w:val="0"/>
      <w:divBdr>
        <w:top w:val="none" w:sz="0" w:space="0" w:color="auto"/>
        <w:left w:val="none" w:sz="0" w:space="0" w:color="auto"/>
        <w:bottom w:val="none" w:sz="0" w:space="0" w:color="auto"/>
        <w:right w:val="none" w:sz="0" w:space="0" w:color="auto"/>
      </w:divBdr>
      <w:divsChild>
        <w:div w:id="124396979">
          <w:marLeft w:val="274"/>
          <w:marRight w:val="0"/>
          <w:marTop w:val="0"/>
          <w:marBottom w:val="120"/>
          <w:divBdr>
            <w:top w:val="none" w:sz="0" w:space="0" w:color="auto"/>
            <w:left w:val="none" w:sz="0" w:space="0" w:color="auto"/>
            <w:bottom w:val="none" w:sz="0" w:space="0" w:color="auto"/>
            <w:right w:val="none" w:sz="0" w:space="0" w:color="auto"/>
          </w:divBdr>
        </w:div>
      </w:divsChild>
    </w:div>
    <w:div w:id="1228683318">
      <w:bodyDiv w:val="1"/>
      <w:marLeft w:val="0"/>
      <w:marRight w:val="0"/>
      <w:marTop w:val="0"/>
      <w:marBottom w:val="0"/>
      <w:divBdr>
        <w:top w:val="none" w:sz="0" w:space="0" w:color="auto"/>
        <w:left w:val="none" w:sz="0" w:space="0" w:color="auto"/>
        <w:bottom w:val="none" w:sz="0" w:space="0" w:color="auto"/>
        <w:right w:val="none" w:sz="0" w:space="0" w:color="auto"/>
      </w:divBdr>
    </w:div>
    <w:div w:id="1337269007">
      <w:bodyDiv w:val="1"/>
      <w:marLeft w:val="0"/>
      <w:marRight w:val="0"/>
      <w:marTop w:val="0"/>
      <w:marBottom w:val="0"/>
      <w:divBdr>
        <w:top w:val="none" w:sz="0" w:space="0" w:color="auto"/>
        <w:left w:val="none" w:sz="0" w:space="0" w:color="auto"/>
        <w:bottom w:val="none" w:sz="0" w:space="0" w:color="auto"/>
        <w:right w:val="none" w:sz="0" w:space="0" w:color="auto"/>
      </w:divBdr>
      <w:divsChild>
        <w:div w:id="357967621">
          <w:marLeft w:val="288"/>
          <w:marRight w:val="0"/>
          <w:marTop w:val="0"/>
          <w:marBottom w:val="120"/>
          <w:divBdr>
            <w:top w:val="none" w:sz="0" w:space="0" w:color="auto"/>
            <w:left w:val="none" w:sz="0" w:space="0" w:color="auto"/>
            <w:bottom w:val="none" w:sz="0" w:space="0" w:color="auto"/>
            <w:right w:val="none" w:sz="0" w:space="0" w:color="auto"/>
          </w:divBdr>
        </w:div>
        <w:div w:id="629481479">
          <w:marLeft w:val="288"/>
          <w:marRight w:val="0"/>
          <w:marTop w:val="0"/>
          <w:marBottom w:val="120"/>
          <w:divBdr>
            <w:top w:val="none" w:sz="0" w:space="0" w:color="auto"/>
            <w:left w:val="none" w:sz="0" w:space="0" w:color="auto"/>
            <w:bottom w:val="none" w:sz="0" w:space="0" w:color="auto"/>
            <w:right w:val="none" w:sz="0" w:space="0" w:color="auto"/>
          </w:divBdr>
        </w:div>
        <w:div w:id="1238706389">
          <w:marLeft w:val="288"/>
          <w:marRight w:val="0"/>
          <w:marTop w:val="0"/>
          <w:marBottom w:val="120"/>
          <w:divBdr>
            <w:top w:val="none" w:sz="0" w:space="0" w:color="auto"/>
            <w:left w:val="none" w:sz="0" w:space="0" w:color="auto"/>
            <w:bottom w:val="none" w:sz="0" w:space="0" w:color="auto"/>
            <w:right w:val="none" w:sz="0" w:space="0" w:color="auto"/>
          </w:divBdr>
        </w:div>
        <w:div w:id="1583489292">
          <w:marLeft w:val="288"/>
          <w:marRight w:val="0"/>
          <w:marTop w:val="0"/>
          <w:marBottom w:val="120"/>
          <w:divBdr>
            <w:top w:val="none" w:sz="0" w:space="0" w:color="auto"/>
            <w:left w:val="none" w:sz="0" w:space="0" w:color="auto"/>
            <w:bottom w:val="none" w:sz="0" w:space="0" w:color="auto"/>
            <w:right w:val="none" w:sz="0" w:space="0" w:color="auto"/>
          </w:divBdr>
        </w:div>
        <w:div w:id="1610165653">
          <w:marLeft w:val="288"/>
          <w:marRight w:val="0"/>
          <w:marTop w:val="0"/>
          <w:marBottom w:val="120"/>
          <w:divBdr>
            <w:top w:val="none" w:sz="0" w:space="0" w:color="auto"/>
            <w:left w:val="none" w:sz="0" w:space="0" w:color="auto"/>
            <w:bottom w:val="none" w:sz="0" w:space="0" w:color="auto"/>
            <w:right w:val="none" w:sz="0" w:space="0" w:color="auto"/>
          </w:divBdr>
        </w:div>
        <w:div w:id="1874876287">
          <w:marLeft w:val="288"/>
          <w:marRight w:val="0"/>
          <w:marTop w:val="0"/>
          <w:marBottom w:val="120"/>
          <w:divBdr>
            <w:top w:val="none" w:sz="0" w:space="0" w:color="auto"/>
            <w:left w:val="none" w:sz="0" w:space="0" w:color="auto"/>
            <w:bottom w:val="none" w:sz="0" w:space="0" w:color="auto"/>
            <w:right w:val="none" w:sz="0" w:space="0" w:color="auto"/>
          </w:divBdr>
        </w:div>
      </w:divsChild>
    </w:div>
    <w:div w:id="1403453503">
      <w:bodyDiv w:val="1"/>
      <w:marLeft w:val="0"/>
      <w:marRight w:val="0"/>
      <w:marTop w:val="0"/>
      <w:marBottom w:val="0"/>
      <w:divBdr>
        <w:top w:val="none" w:sz="0" w:space="0" w:color="auto"/>
        <w:left w:val="none" w:sz="0" w:space="0" w:color="auto"/>
        <w:bottom w:val="none" w:sz="0" w:space="0" w:color="auto"/>
        <w:right w:val="none" w:sz="0" w:space="0" w:color="auto"/>
      </w:divBdr>
    </w:div>
    <w:div w:id="1455294415">
      <w:bodyDiv w:val="1"/>
      <w:marLeft w:val="0"/>
      <w:marRight w:val="0"/>
      <w:marTop w:val="0"/>
      <w:marBottom w:val="0"/>
      <w:divBdr>
        <w:top w:val="none" w:sz="0" w:space="0" w:color="auto"/>
        <w:left w:val="none" w:sz="0" w:space="0" w:color="auto"/>
        <w:bottom w:val="none" w:sz="0" w:space="0" w:color="auto"/>
        <w:right w:val="none" w:sz="0" w:space="0" w:color="auto"/>
      </w:divBdr>
      <w:divsChild>
        <w:div w:id="203252241">
          <w:marLeft w:val="274"/>
          <w:marRight w:val="0"/>
          <w:marTop w:val="0"/>
          <w:marBottom w:val="120"/>
          <w:divBdr>
            <w:top w:val="none" w:sz="0" w:space="0" w:color="auto"/>
            <w:left w:val="none" w:sz="0" w:space="0" w:color="auto"/>
            <w:bottom w:val="none" w:sz="0" w:space="0" w:color="auto"/>
            <w:right w:val="none" w:sz="0" w:space="0" w:color="auto"/>
          </w:divBdr>
        </w:div>
        <w:div w:id="314993857">
          <w:marLeft w:val="274"/>
          <w:marRight w:val="0"/>
          <w:marTop w:val="0"/>
          <w:marBottom w:val="120"/>
          <w:divBdr>
            <w:top w:val="none" w:sz="0" w:space="0" w:color="auto"/>
            <w:left w:val="none" w:sz="0" w:space="0" w:color="auto"/>
            <w:bottom w:val="none" w:sz="0" w:space="0" w:color="auto"/>
            <w:right w:val="none" w:sz="0" w:space="0" w:color="auto"/>
          </w:divBdr>
        </w:div>
        <w:div w:id="829490849">
          <w:marLeft w:val="274"/>
          <w:marRight w:val="0"/>
          <w:marTop w:val="0"/>
          <w:marBottom w:val="120"/>
          <w:divBdr>
            <w:top w:val="none" w:sz="0" w:space="0" w:color="auto"/>
            <w:left w:val="none" w:sz="0" w:space="0" w:color="auto"/>
            <w:bottom w:val="none" w:sz="0" w:space="0" w:color="auto"/>
            <w:right w:val="none" w:sz="0" w:space="0" w:color="auto"/>
          </w:divBdr>
        </w:div>
        <w:div w:id="886799606">
          <w:marLeft w:val="274"/>
          <w:marRight w:val="0"/>
          <w:marTop w:val="0"/>
          <w:marBottom w:val="120"/>
          <w:divBdr>
            <w:top w:val="none" w:sz="0" w:space="0" w:color="auto"/>
            <w:left w:val="none" w:sz="0" w:space="0" w:color="auto"/>
            <w:bottom w:val="none" w:sz="0" w:space="0" w:color="auto"/>
            <w:right w:val="none" w:sz="0" w:space="0" w:color="auto"/>
          </w:divBdr>
        </w:div>
        <w:div w:id="1285623716">
          <w:marLeft w:val="274"/>
          <w:marRight w:val="0"/>
          <w:marTop w:val="0"/>
          <w:marBottom w:val="120"/>
          <w:divBdr>
            <w:top w:val="none" w:sz="0" w:space="0" w:color="auto"/>
            <w:left w:val="none" w:sz="0" w:space="0" w:color="auto"/>
            <w:bottom w:val="none" w:sz="0" w:space="0" w:color="auto"/>
            <w:right w:val="none" w:sz="0" w:space="0" w:color="auto"/>
          </w:divBdr>
        </w:div>
        <w:div w:id="1416125111">
          <w:marLeft w:val="274"/>
          <w:marRight w:val="0"/>
          <w:marTop w:val="0"/>
          <w:marBottom w:val="120"/>
          <w:divBdr>
            <w:top w:val="none" w:sz="0" w:space="0" w:color="auto"/>
            <w:left w:val="none" w:sz="0" w:space="0" w:color="auto"/>
            <w:bottom w:val="none" w:sz="0" w:space="0" w:color="auto"/>
            <w:right w:val="none" w:sz="0" w:space="0" w:color="auto"/>
          </w:divBdr>
        </w:div>
        <w:div w:id="1482968845">
          <w:marLeft w:val="274"/>
          <w:marRight w:val="0"/>
          <w:marTop w:val="0"/>
          <w:marBottom w:val="120"/>
          <w:divBdr>
            <w:top w:val="none" w:sz="0" w:space="0" w:color="auto"/>
            <w:left w:val="none" w:sz="0" w:space="0" w:color="auto"/>
            <w:bottom w:val="none" w:sz="0" w:space="0" w:color="auto"/>
            <w:right w:val="none" w:sz="0" w:space="0" w:color="auto"/>
          </w:divBdr>
        </w:div>
        <w:div w:id="1750151894">
          <w:marLeft w:val="274"/>
          <w:marRight w:val="0"/>
          <w:marTop w:val="0"/>
          <w:marBottom w:val="120"/>
          <w:divBdr>
            <w:top w:val="none" w:sz="0" w:space="0" w:color="auto"/>
            <w:left w:val="none" w:sz="0" w:space="0" w:color="auto"/>
            <w:bottom w:val="none" w:sz="0" w:space="0" w:color="auto"/>
            <w:right w:val="none" w:sz="0" w:space="0" w:color="auto"/>
          </w:divBdr>
        </w:div>
        <w:div w:id="1750956591">
          <w:marLeft w:val="274"/>
          <w:marRight w:val="0"/>
          <w:marTop w:val="0"/>
          <w:marBottom w:val="120"/>
          <w:divBdr>
            <w:top w:val="none" w:sz="0" w:space="0" w:color="auto"/>
            <w:left w:val="none" w:sz="0" w:space="0" w:color="auto"/>
            <w:bottom w:val="none" w:sz="0" w:space="0" w:color="auto"/>
            <w:right w:val="none" w:sz="0" w:space="0" w:color="auto"/>
          </w:divBdr>
        </w:div>
      </w:divsChild>
    </w:div>
    <w:div w:id="1467626185">
      <w:bodyDiv w:val="1"/>
      <w:marLeft w:val="0"/>
      <w:marRight w:val="0"/>
      <w:marTop w:val="0"/>
      <w:marBottom w:val="0"/>
      <w:divBdr>
        <w:top w:val="none" w:sz="0" w:space="0" w:color="auto"/>
        <w:left w:val="none" w:sz="0" w:space="0" w:color="auto"/>
        <w:bottom w:val="none" w:sz="0" w:space="0" w:color="auto"/>
        <w:right w:val="none" w:sz="0" w:space="0" w:color="auto"/>
      </w:divBdr>
    </w:div>
    <w:div w:id="1490561797">
      <w:bodyDiv w:val="1"/>
      <w:marLeft w:val="0"/>
      <w:marRight w:val="0"/>
      <w:marTop w:val="0"/>
      <w:marBottom w:val="0"/>
      <w:divBdr>
        <w:top w:val="none" w:sz="0" w:space="0" w:color="auto"/>
        <w:left w:val="none" w:sz="0" w:space="0" w:color="auto"/>
        <w:bottom w:val="none" w:sz="0" w:space="0" w:color="auto"/>
        <w:right w:val="none" w:sz="0" w:space="0" w:color="auto"/>
      </w:divBdr>
      <w:divsChild>
        <w:div w:id="868642929">
          <w:marLeft w:val="274"/>
          <w:marRight w:val="0"/>
          <w:marTop w:val="0"/>
          <w:marBottom w:val="120"/>
          <w:divBdr>
            <w:top w:val="none" w:sz="0" w:space="0" w:color="auto"/>
            <w:left w:val="none" w:sz="0" w:space="0" w:color="auto"/>
            <w:bottom w:val="none" w:sz="0" w:space="0" w:color="auto"/>
            <w:right w:val="none" w:sz="0" w:space="0" w:color="auto"/>
          </w:divBdr>
        </w:div>
        <w:div w:id="884023478">
          <w:marLeft w:val="274"/>
          <w:marRight w:val="0"/>
          <w:marTop w:val="0"/>
          <w:marBottom w:val="120"/>
          <w:divBdr>
            <w:top w:val="none" w:sz="0" w:space="0" w:color="auto"/>
            <w:left w:val="none" w:sz="0" w:space="0" w:color="auto"/>
            <w:bottom w:val="none" w:sz="0" w:space="0" w:color="auto"/>
            <w:right w:val="none" w:sz="0" w:space="0" w:color="auto"/>
          </w:divBdr>
        </w:div>
        <w:div w:id="909189527">
          <w:marLeft w:val="274"/>
          <w:marRight w:val="0"/>
          <w:marTop w:val="0"/>
          <w:marBottom w:val="120"/>
          <w:divBdr>
            <w:top w:val="none" w:sz="0" w:space="0" w:color="auto"/>
            <w:left w:val="none" w:sz="0" w:space="0" w:color="auto"/>
            <w:bottom w:val="none" w:sz="0" w:space="0" w:color="auto"/>
            <w:right w:val="none" w:sz="0" w:space="0" w:color="auto"/>
          </w:divBdr>
        </w:div>
      </w:divsChild>
    </w:div>
    <w:div w:id="1552304871">
      <w:bodyDiv w:val="1"/>
      <w:marLeft w:val="0"/>
      <w:marRight w:val="0"/>
      <w:marTop w:val="0"/>
      <w:marBottom w:val="0"/>
      <w:divBdr>
        <w:top w:val="none" w:sz="0" w:space="0" w:color="auto"/>
        <w:left w:val="none" w:sz="0" w:space="0" w:color="auto"/>
        <w:bottom w:val="none" w:sz="0" w:space="0" w:color="auto"/>
        <w:right w:val="none" w:sz="0" w:space="0" w:color="auto"/>
      </w:divBdr>
      <w:divsChild>
        <w:div w:id="612136003">
          <w:marLeft w:val="274"/>
          <w:marRight w:val="0"/>
          <w:marTop w:val="0"/>
          <w:marBottom w:val="120"/>
          <w:divBdr>
            <w:top w:val="none" w:sz="0" w:space="0" w:color="auto"/>
            <w:left w:val="none" w:sz="0" w:space="0" w:color="auto"/>
            <w:bottom w:val="none" w:sz="0" w:space="0" w:color="auto"/>
            <w:right w:val="none" w:sz="0" w:space="0" w:color="auto"/>
          </w:divBdr>
        </w:div>
        <w:div w:id="750079272">
          <w:marLeft w:val="274"/>
          <w:marRight w:val="0"/>
          <w:marTop w:val="0"/>
          <w:marBottom w:val="120"/>
          <w:divBdr>
            <w:top w:val="none" w:sz="0" w:space="0" w:color="auto"/>
            <w:left w:val="none" w:sz="0" w:space="0" w:color="auto"/>
            <w:bottom w:val="none" w:sz="0" w:space="0" w:color="auto"/>
            <w:right w:val="none" w:sz="0" w:space="0" w:color="auto"/>
          </w:divBdr>
        </w:div>
        <w:div w:id="770473017">
          <w:marLeft w:val="274"/>
          <w:marRight w:val="0"/>
          <w:marTop w:val="0"/>
          <w:marBottom w:val="120"/>
          <w:divBdr>
            <w:top w:val="none" w:sz="0" w:space="0" w:color="auto"/>
            <w:left w:val="none" w:sz="0" w:space="0" w:color="auto"/>
            <w:bottom w:val="none" w:sz="0" w:space="0" w:color="auto"/>
            <w:right w:val="none" w:sz="0" w:space="0" w:color="auto"/>
          </w:divBdr>
        </w:div>
        <w:div w:id="790053488">
          <w:marLeft w:val="274"/>
          <w:marRight w:val="0"/>
          <w:marTop w:val="0"/>
          <w:marBottom w:val="120"/>
          <w:divBdr>
            <w:top w:val="none" w:sz="0" w:space="0" w:color="auto"/>
            <w:left w:val="none" w:sz="0" w:space="0" w:color="auto"/>
            <w:bottom w:val="none" w:sz="0" w:space="0" w:color="auto"/>
            <w:right w:val="none" w:sz="0" w:space="0" w:color="auto"/>
          </w:divBdr>
        </w:div>
        <w:div w:id="880629947">
          <w:marLeft w:val="274"/>
          <w:marRight w:val="0"/>
          <w:marTop w:val="0"/>
          <w:marBottom w:val="120"/>
          <w:divBdr>
            <w:top w:val="none" w:sz="0" w:space="0" w:color="auto"/>
            <w:left w:val="none" w:sz="0" w:space="0" w:color="auto"/>
            <w:bottom w:val="none" w:sz="0" w:space="0" w:color="auto"/>
            <w:right w:val="none" w:sz="0" w:space="0" w:color="auto"/>
          </w:divBdr>
        </w:div>
        <w:div w:id="1109466926">
          <w:marLeft w:val="274"/>
          <w:marRight w:val="0"/>
          <w:marTop w:val="0"/>
          <w:marBottom w:val="120"/>
          <w:divBdr>
            <w:top w:val="none" w:sz="0" w:space="0" w:color="auto"/>
            <w:left w:val="none" w:sz="0" w:space="0" w:color="auto"/>
            <w:bottom w:val="none" w:sz="0" w:space="0" w:color="auto"/>
            <w:right w:val="none" w:sz="0" w:space="0" w:color="auto"/>
          </w:divBdr>
        </w:div>
      </w:divsChild>
    </w:div>
    <w:div w:id="1604846995">
      <w:bodyDiv w:val="1"/>
      <w:marLeft w:val="0"/>
      <w:marRight w:val="0"/>
      <w:marTop w:val="0"/>
      <w:marBottom w:val="0"/>
      <w:divBdr>
        <w:top w:val="none" w:sz="0" w:space="0" w:color="auto"/>
        <w:left w:val="none" w:sz="0" w:space="0" w:color="auto"/>
        <w:bottom w:val="none" w:sz="0" w:space="0" w:color="auto"/>
        <w:right w:val="none" w:sz="0" w:space="0" w:color="auto"/>
      </w:divBdr>
      <w:divsChild>
        <w:div w:id="170994636">
          <w:marLeft w:val="274"/>
          <w:marRight w:val="0"/>
          <w:marTop w:val="0"/>
          <w:marBottom w:val="120"/>
          <w:divBdr>
            <w:top w:val="none" w:sz="0" w:space="0" w:color="auto"/>
            <w:left w:val="none" w:sz="0" w:space="0" w:color="auto"/>
            <w:bottom w:val="none" w:sz="0" w:space="0" w:color="auto"/>
            <w:right w:val="none" w:sz="0" w:space="0" w:color="auto"/>
          </w:divBdr>
        </w:div>
        <w:div w:id="515194250">
          <w:marLeft w:val="274"/>
          <w:marRight w:val="0"/>
          <w:marTop w:val="0"/>
          <w:marBottom w:val="120"/>
          <w:divBdr>
            <w:top w:val="none" w:sz="0" w:space="0" w:color="auto"/>
            <w:left w:val="none" w:sz="0" w:space="0" w:color="auto"/>
            <w:bottom w:val="none" w:sz="0" w:space="0" w:color="auto"/>
            <w:right w:val="none" w:sz="0" w:space="0" w:color="auto"/>
          </w:divBdr>
        </w:div>
        <w:div w:id="648827459">
          <w:marLeft w:val="274"/>
          <w:marRight w:val="0"/>
          <w:marTop w:val="0"/>
          <w:marBottom w:val="120"/>
          <w:divBdr>
            <w:top w:val="none" w:sz="0" w:space="0" w:color="auto"/>
            <w:left w:val="none" w:sz="0" w:space="0" w:color="auto"/>
            <w:bottom w:val="none" w:sz="0" w:space="0" w:color="auto"/>
            <w:right w:val="none" w:sz="0" w:space="0" w:color="auto"/>
          </w:divBdr>
        </w:div>
        <w:div w:id="978654164">
          <w:marLeft w:val="274"/>
          <w:marRight w:val="0"/>
          <w:marTop w:val="0"/>
          <w:marBottom w:val="120"/>
          <w:divBdr>
            <w:top w:val="none" w:sz="0" w:space="0" w:color="auto"/>
            <w:left w:val="none" w:sz="0" w:space="0" w:color="auto"/>
            <w:bottom w:val="none" w:sz="0" w:space="0" w:color="auto"/>
            <w:right w:val="none" w:sz="0" w:space="0" w:color="auto"/>
          </w:divBdr>
        </w:div>
        <w:div w:id="1112358424">
          <w:marLeft w:val="274"/>
          <w:marRight w:val="0"/>
          <w:marTop w:val="0"/>
          <w:marBottom w:val="120"/>
          <w:divBdr>
            <w:top w:val="none" w:sz="0" w:space="0" w:color="auto"/>
            <w:left w:val="none" w:sz="0" w:space="0" w:color="auto"/>
            <w:bottom w:val="none" w:sz="0" w:space="0" w:color="auto"/>
            <w:right w:val="none" w:sz="0" w:space="0" w:color="auto"/>
          </w:divBdr>
        </w:div>
        <w:div w:id="1153714367">
          <w:marLeft w:val="274"/>
          <w:marRight w:val="0"/>
          <w:marTop w:val="0"/>
          <w:marBottom w:val="120"/>
          <w:divBdr>
            <w:top w:val="none" w:sz="0" w:space="0" w:color="auto"/>
            <w:left w:val="none" w:sz="0" w:space="0" w:color="auto"/>
            <w:bottom w:val="none" w:sz="0" w:space="0" w:color="auto"/>
            <w:right w:val="none" w:sz="0" w:space="0" w:color="auto"/>
          </w:divBdr>
        </w:div>
        <w:div w:id="1430854832">
          <w:marLeft w:val="274"/>
          <w:marRight w:val="0"/>
          <w:marTop w:val="0"/>
          <w:marBottom w:val="120"/>
          <w:divBdr>
            <w:top w:val="none" w:sz="0" w:space="0" w:color="auto"/>
            <w:left w:val="none" w:sz="0" w:space="0" w:color="auto"/>
            <w:bottom w:val="none" w:sz="0" w:space="0" w:color="auto"/>
            <w:right w:val="none" w:sz="0" w:space="0" w:color="auto"/>
          </w:divBdr>
        </w:div>
        <w:div w:id="1911648692">
          <w:marLeft w:val="274"/>
          <w:marRight w:val="0"/>
          <w:marTop w:val="0"/>
          <w:marBottom w:val="120"/>
          <w:divBdr>
            <w:top w:val="none" w:sz="0" w:space="0" w:color="auto"/>
            <w:left w:val="none" w:sz="0" w:space="0" w:color="auto"/>
            <w:bottom w:val="none" w:sz="0" w:space="0" w:color="auto"/>
            <w:right w:val="none" w:sz="0" w:space="0" w:color="auto"/>
          </w:divBdr>
        </w:div>
      </w:divsChild>
    </w:div>
    <w:div w:id="1711221507">
      <w:bodyDiv w:val="1"/>
      <w:marLeft w:val="0"/>
      <w:marRight w:val="0"/>
      <w:marTop w:val="0"/>
      <w:marBottom w:val="0"/>
      <w:divBdr>
        <w:top w:val="none" w:sz="0" w:space="0" w:color="auto"/>
        <w:left w:val="none" w:sz="0" w:space="0" w:color="auto"/>
        <w:bottom w:val="none" w:sz="0" w:space="0" w:color="auto"/>
        <w:right w:val="none" w:sz="0" w:space="0" w:color="auto"/>
      </w:divBdr>
      <w:divsChild>
        <w:div w:id="486674996">
          <w:marLeft w:val="274"/>
          <w:marRight w:val="0"/>
          <w:marTop w:val="0"/>
          <w:marBottom w:val="120"/>
          <w:divBdr>
            <w:top w:val="none" w:sz="0" w:space="0" w:color="auto"/>
            <w:left w:val="none" w:sz="0" w:space="0" w:color="auto"/>
            <w:bottom w:val="none" w:sz="0" w:space="0" w:color="auto"/>
            <w:right w:val="none" w:sz="0" w:space="0" w:color="auto"/>
          </w:divBdr>
        </w:div>
        <w:div w:id="589237451">
          <w:marLeft w:val="274"/>
          <w:marRight w:val="0"/>
          <w:marTop w:val="0"/>
          <w:marBottom w:val="120"/>
          <w:divBdr>
            <w:top w:val="none" w:sz="0" w:space="0" w:color="auto"/>
            <w:left w:val="none" w:sz="0" w:space="0" w:color="auto"/>
            <w:bottom w:val="none" w:sz="0" w:space="0" w:color="auto"/>
            <w:right w:val="none" w:sz="0" w:space="0" w:color="auto"/>
          </w:divBdr>
        </w:div>
        <w:div w:id="1366100381">
          <w:marLeft w:val="274"/>
          <w:marRight w:val="0"/>
          <w:marTop w:val="0"/>
          <w:marBottom w:val="120"/>
          <w:divBdr>
            <w:top w:val="none" w:sz="0" w:space="0" w:color="auto"/>
            <w:left w:val="none" w:sz="0" w:space="0" w:color="auto"/>
            <w:bottom w:val="none" w:sz="0" w:space="0" w:color="auto"/>
            <w:right w:val="none" w:sz="0" w:space="0" w:color="auto"/>
          </w:divBdr>
        </w:div>
        <w:div w:id="1373113008">
          <w:marLeft w:val="274"/>
          <w:marRight w:val="0"/>
          <w:marTop w:val="0"/>
          <w:marBottom w:val="120"/>
          <w:divBdr>
            <w:top w:val="none" w:sz="0" w:space="0" w:color="auto"/>
            <w:left w:val="none" w:sz="0" w:space="0" w:color="auto"/>
            <w:bottom w:val="none" w:sz="0" w:space="0" w:color="auto"/>
            <w:right w:val="none" w:sz="0" w:space="0" w:color="auto"/>
          </w:divBdr>
        </w:div>
        <w:div w:id="1462308891">
          <w:marLeft w:val="274"/>
          <w:marRight w:val="0"/>
          <w:marTop w:val="0"/>
          <w:marBottom w:val="120"/>
          <w:divBdr>
            <w:top w:val="none" w:sz="0" w:space="0" w:color="auto"/>
            <w:left w:val="none" w:sz="0" w:space="0" w:color="auto"/>
            <w:bottom w:val="none" w:sz="0" w:space="0" w:color="auto"/>
            <w:right w:val="none" w:sz="0" w:space="0" w:color="auto"/>
          </w:divBdr>
        </w:div>
        <w:div w:id="1575630387">
          <w:marLeft w:val="274"/>
          <w:marRight w:val="0"/>
          <w:marTop w:val="0"/>
          <w:marBottom w:val="120"/>
          <w:divBdr>
            <w:top w:val="none" w:sz="0" w:space="0" w:color="auto"/>
            <w:left w:val="none" w:sz="0" w:space="0" w:color="auto"/>
            <w:bottom w:val="none" w:sz="0" w:space="0" w:color="auto"/>
            <w:right w:val="none" w:sz="0" w:space="0" w:color="auto"/>
          </w:divBdr>
        </w:div>
      </w:divsChild>
    </w:div>
    <w:div w:id="1782604201">
      <w:bodyDiv w:val="1"/>
      <w:marLeft w:val="0"/>
      <w:marRight w:val="0"/>
      <w:marTop w:val="0"/>
      <w:marBottom w:val="0"/>
      <w:divBdr>
        <w:top w:val="none" w:sz="0" w:space="0" w:color="auto"/>
        <w:left w:val="none" w:sz="0" w:space="0" w:color="auto"/>
        <w:bottom w:val="none" w:sz="0" w:space="0" w:color="auto"/>
        <w:right w:val="none" w:sz="0" w:space="0" w:color="auto"/>
      </w:divBdr>
      <w:divsChild>
        <w:div w:id="104884084">
          <w:marLeft w:val="288"/>
          <w:marRight w:val="0"/>
          <w:marTop w:val="0"/>
          <w:marBottom w:val="120"/>
          <w:divBdr>
            <w:top w:val="none" w:sz="0" w:space="0" w:color="auto"/>
            <w:left w:val="none" w:sz="0" w:space="0" w:color="auto"/>
            <w:bottom w:val="none" w:sz="0" w:space="0" w:color="auto"/>
            <w:right w:val="none" w:sz="0" w:space="0" w:color="auto"/>
          </w:divBdr>
        </w:div>
        <w:div w:id="350449710">
          <w:marLeft w:val="288"/>
          <w:marRight w:val="0"/>
          <w:marTop w:val="0"/>
          <w:marBottom w:val="120"/>
          <w:divBdr>
            <w:top w:val="none" w:sz="0" w:space="0" w:color="auto"/>
            <w:left w:val="none" w:sz="0" w:space="0" w:color="auto"/>
            <w:bottom w:val="none" w:sz="0" w:space="0" w:color="auto"/>
            <w:right w:val="none" w:sz="0" w:space="0" w:color="auto"/>
          </w:divBdr>
        </w:div>
        <w:div w:id="748580919">
          <w:marLeft w:val="288"/>
          <w:marRight w:val="0"/>
          <w:marTop w:val="0"/>
          <w:marBottom w:val="120"/>
          <w:divBdr>
            <w:top w:val="none" w:sz="0" w:space="0" w:color="auto"/>
            <w:left w:val="none" w:sz="0" w:space="0" w:color="auto"/>
            <w:bottom w:val="none" w:sz="0" w:space="0" w:color="auto"/>
            <w:right w:val="none" w:sz="0" w:space="0" w:color="auto"/>
          </w:divBdr>
        </w:div>
        <w:div w:id="786046678">
          <w:marLeft w:val="288"/>
          <w:marRight w:val="0"/>
          <w:marTop w:val="0"/>
          <w:marBottom w:val="120"/>
          <w:divBdr>
            <w:top w:val="none" w:sz="0" w:space="0" w:color="auto"/>
            <w:left w:val="none" w:sz="0" w:space="0" w:color="auto"/>
            <w:bottom w:val="none" w:sz="0" w:space="0" w:color="auto"/>
            <w:right w:val="none" w:sz="0" w:space="0" w:color="auto"/>
          </w:divBdr>
        </w:div>
        <w:div w:id="823549760">
          <w:marLeft w:val="288"/>
          <w:marRight w:val="0"/>
          <w:marTop w:val="0"/>
          <w:marBottom w:val="120"/>
          <w:divBdr>
            <w:top w:val="none" w:sz="0" w:space="0" w:color="auto"/>
            <w:left w:val="none" w:sz="0" w:space="0" w:color="auto"/>
            <w:bottom w:val="none" w:sz="0" w:space="0" w:color="auto"/>
            <w:right w:val="none" w:sz="0" w:space="0" w:color="auto"/>
          </w:divBdr>
        </w:div>
        <w:div w:id="1171943313">
          <w:marLeft w:val="288"/>
          <w:marRight w:val="0"/>
          <w:marTop w:val="0"/>
          <w:marBottom w:val="120"/>
          <w:divBdr>
            <w:top w:val="none" w:sz="0" w:space="0" w:color="auto"/>
            <w:left w:val="none" w:sz="0" w:space="0" w:color="auto"/>
            <w:bottom w:val="none" w:sz="0" w:space="0" w:color="auto"/>
            <w:right w:val="none" w:sz="0" w:space="0" w:color="auto"/>
          </w:divBdr>
        </w:div>
        <w:div w:id="1957329945">
          <w:marLeft w:val="288"/>
          <w:marRight w:val="0"/>
          <w:marTop w:val="0"/>
          <w:marBottom w:val="120"/>
          <w:divBdr>
            <w:top w:val="none" w:sz="0" w:space="0" w:color="auto"/>
            <w:left w:val="none" w:sz="0" w:space="0" w:color="auto"/>
            <w:bottom w:val="none" w:sz="0" w:space="0" w:color="auto"/>
            <w:right w:val="none" w:sz="0" w:space="0" w:color="auto"/>
          </w:divBdr>
        </w:div>
      </w:divsChild>
    </w:div>
    <w:div w:id="1790512471">
      <w:bodyDiv w:val="1"/>
      <w:marLeft w:val="0"/>
      <w:marRight w:val="0"/>
      <w:marTop w:val="0"/>
      <w:marBottom w:val="0"/>
      <w:divBdr>
        <w:top w:val="none" w:sz="0" w:space="0" w:color="auto"/>
        <w:left w:val="none" w:sz="0" w:space="0" w:color="auto"/>
        <w:bottom w:val="none" w:sz="0" w:space="0" w:color="auto"/>
        <w:right w:val="none" w:sz="0" w:space="0" w:color="auto"/>
      </w:divBdr>
      <w:divsChild>
        <w:div w:id="482159552">
          <w:marLeft w:val="274"/>
          <w:marRight w:val="0"/>
          <w:marTop w:val="0"/>
          <w:marBottom w:val="120"/>
          <w:divBdr>
            <w:top w:val="none" w:sz="0" w:space="0" w:color="auto"/>
            <w:left w:val="none" w:sz="0" w:space="0" w:color="auto"/>
            <w:bottom w:val="none" w:sz="0" w:space="0" w:color="auto"/>
            <w:right w:val="none" w:sz="0" w:space="0" w:color="auto"/>
          </w:divBdr>
        </w:div>
        <w:div w:id="657610921">
          <w:marLeft w:val="274"/>
          <w:marRight w:val="0"/>
          <w:marTop w:val="0"/>
          <w:marBottom w:val="120"/>
          <w:divBdr>
            <w:top w:val="none" w:sz="0" w:space="0" w:color="auto"/>
            <w:left w:val="none" w:sz="0" w:space="0" w:color="auto"/>
            <w:bottom w:val="none" w:sz="0" w:space="0" w:color="auto"/>
            <w:right w:val="none" w:sz="0" w:space="0" w:color="auto"/>
          </w:divBdr>
        </w:div>
        <w:div w:id="1061099112">
          <w:marLeft w:val="274"/>
          <w:marRight w:val="0"/>
          <w:marTop w:val="0"/>
          <w:marBottom w:val="120"/>
          <w:divBdr>
            <w:top w:val="none" w:sz="0" w:space="0" w:color="auto"/>
            <w:left w:val="none" w:sz="0" w:space="0" w:color="auto"/>
            <w:bottom w:val="none" w:sz="0" w:space="0" w:color="auto"/>
            <w:right w:val="none" w:sz="0" w:space="0" w:color="auto"/>
          </w:divBdr>
        </w:div>
        <w:div w:id="1341278874">
          <w:marLeft w:val="274"/>
          <w:marRight w:val="0"/>
          <w:marTop w:val="0"/>
          <w:marBottom w:val="120"/>
          <w:divBdr>
            <w:top w:val="none" w:sz="0" w:space="0" w:color="auto"/>
            <w:left w:val="none" w:sz="0" w:space="0" w:color="auto"/>
            <w:bottom w:val="none" w:sz="0" w:space="0" w:color="auto"/>
            <w:right w:val="none" w:sz="0" w:space="0" w:color="auto"/>
          </w:divBdr>
        </w:div>
        <w:div w:id="1946384511">
          <w:marLeft w:val="274"/>
          <w:marRight w:val="0"/>
          <w:marTop w:val="0"/>
          <w:marBottom w:val="120"/>
          <w:divBdr>
            <w:top w:val="none" w:sz="0" w:space="0" w:color="auto"/>
            <w:left w:val="none" w:sz="0" w:space="0" w:color="auto"/>
            <w:bottom w:val="none" w:sz="0" w:space="0" w:color="auto"/>
            <w:right w:val="none" w:sz="0" w:space="0" w:color="auto"/>
          </w:divBdr>
        </w:div>
        <w:div w:id="1974559349">
          <w:marLeft w:val="274"/>
          <w:marRight w:val="0"/>
          <w:marTop w:val="0"/>
          <w:marBottom w:val="120"/>
          <w:divBdr>
            <w:top w:val="none" w:sz="0" w:space="0" w:color="auto"/>
            <w:left w:val="none" w:sz="0" w:space="0" w:color="auto"/>
            <w:bottom w:val="none" w:sz="0" w:space="0" w:color="auto"/>
            <w:right w:val="none" w:sz="0" w:space="0" w:color="auto"/>
          </w:divBdr>
        </w:div>
      </w:divsChild>
    </w:div>
    <w:div w:id="1850173086">
      <w:bodyDiv w:val="1"/>
      <w:marLeft w:val="0"/>
      <w:marRight w:val="0"/>
      <w:marTop w:val="0"/>
      <w:marBottom w:val="0"/>
      <w:divBdr>
        <w:top w:val="none" w:sz="0" w:space="0" w:color="auto"/>
        <w:left w:val="none" w:sz="0" w:space="0" w:color="auto"/>
        <w:bottom w:val="none" w:sz="0" w:space="0" w:color="auto"/>
        <w:right w:val="none" w:sz="0" w:space="0" w:color="auto"/>
      </w:divBdr>
      <w:divsChild>
        <w:div w:id="181011995">
          <w:marLeft w:val="288"/>
          <w:marRight w:val="0"/>
          <w:marTop w:val="0"/>
          <w:marBottom w:val="160"/>
          <w:divBdr>
            <w:top w:val="none" w:sz="0" w:space="0" w:color="auto"/>
            <w:left w:val="none" w:sz="0" w:space="0" w:color="auto"/>
            <w:bottom w:val="none" w:sz="0" w:space="0" w:color="auto"/>
            <w:right w:val="none" w:sz="0" w:space="0" w:color="auto"/>
          </w:divBdr>
        </w:div>
        <w:div w:id="1276211500">
          <w:marLeft w:val="288"/>
          <w:marRight w:val="0"/>
          <w:marTop w:val="0"/>
          <w:marBottom w:val="160"/>
          <w:divBdr>
            <w:top w:val="none" w:sz="0" w:space="0" w:color="auto"/>
            <w:left w:val="none" w:sz="0" w:space="0" w:color="auto"/>
            <w:bottom w:val="none" w:sz="0" w:space="0" w:color="auto"/>
            <w:right w:val="none" w:sz="0" w:space="0" w:color="auto"/>
          </w:divBdr>
        </w:div>
        <w:div w:id="1403288070">
          <w:marLeft w:val="288"/>
          <w:marRight w:val="0"/>
          <w:marTop w:val="0"/>
          <w:marBottom w:val="160"/>
          <w:divBdr>
            <w:top w:val="none" w:sz="0" w:space="0" w:color="auto"/>
            <w:left w:val="none" w:sz="0" w:space="0" w:color="auto"/>
            <w:bottom w:val="none" w:sz="0" w:space="0" w:color="auto"/>
            <w:right w:val="none" w:sz="0" w:space="0" w:color="auto"/>
          </w:divBdr>
        </w:div>
      </w:divsChild>
    </w:div>
    <w:div w:id="1857301477">
      <w:bodyDiv w:val="1"/>
      <w:marLeft w:val="0"/>
      <w:marRight w:val="0"/>
      <w:marTop w:val="0"/>
      <w:marBottom w:val="0"/>
      <w:divBdr>
        <w:top w:val="none" w:sz="0" w:space="0" w:color="auto"/>
        <w:left w:val="none" w:sz="0" w:space="0" w:color="auto"/>
        <w:bottom w:val="none" w:sz="0" w:space="0" w:color="auto"/>
        <w:right w:val="none" w:sz="0" w:space="0" w:color="auto"/>
      </w:divBdr>
      <w:divsChild>
        <w:div w:id="115759978">
          <w:marLeft w:val="288"/>
          <w:marRight w:val="0"/>
          <w:marTop w:val="0"/>
          <w:marBottom w:val="80"/>
          <w:divBdr>
            <w:top w:val="none" w:sz="0" w:space="0" w:color="auto"/>
            <w:left w:val="none" w:sz="0" w:space="0" w:color="auto"/>
            <w:bottom w:val="none" w:sz="0" w:space="0" w:color="auto"/>
            <w:right w:val="none" w:sz="0" w:space="0" w:color="auto"/>
          </w:divBdr>
        </w:div>
        <w:div w:id="489562146">
          <w:marLeft w:val="288"/>
          <w:marRight w:val="0"/>
          <w:marTop w:val="0"/>
          <w:marBottom w:val="80"/>
          <w:divBdr>
            <w:top w:val="none" w:sz="0" w:space="0" w:color="auto"/>
            <w:left w:val="none" w:sz="0" w:space="0" w:color="auto"/>
            <w:bottom w:val="none" w:sz="0" w:space="0" w:color="auto"/>
            <w:right w:val="none" w:sz="0" w:space="0" w:color="auto"/>
          </w:divBdr>
        </w:div>
        <w:div w:id="522793611">
          <w:marLeft w:val="288"/>
          <w:marRight w:val="0"/>
          <w:marTop w:val="0"/>
          <w:marBottom w:val="80"/>
          <w:divBdr>
            <w:top w:val="none" w:sz="0" w:space="0" w:color="auto"/>
            <w:left w:val="none" w:sz="0" w:space="0" w:color="auto"/>
            <w:bottom w:val="none" w:sz="0" w:space="0" w:color="auto"/>
            <w:right w:val="none" w:sz="0" w:space="0" w:color="auto"/>
          </w:divBdr>
        </w:div>
        <w:div w:id="576482344">
          <w:marLeft w:val="288"/>
          <w:marRight w:val="0"/>
          <w:marTop w:val="0"/>
          <w:marBottom w:val="80"/>
          <w:divBdr>
            <w:top w:val="none" w:sz="0" w:space="0" w:color="auto"/>
            <w:left w:val="none" w:sz="0" w:space="0" w:color="auto"/>
            <w:bottom w:val="none" w:sz="0" w:space="0" w:color="auto"/>
            <w:right w:val="none" w:sz="0" w:space="0" w:color="auto"/>
          </w:divBdr>
        </w:div>
        <w:div w:id="965700081">
          <w:marLeft w:val="288"/>
          <w:marRight w:val="0"/>
          <w:marTop w:val="0"/>
          <w:marBottom w:val="80"/>
          <w:divBdr>
            <w:top w:val="none" w:sz="0" w:space="0" w:color="auto"/>
            <w:left w:val="none" w:sz="0" w:space="0" w:color="auto"/>
            <w:bottom w:val="none" w:sz="0" w:space="0" w:color="auto"/>
            <w:right w:val="none" w:sz="0" w:space="0" w:color="auto"/>
          </w:divBdr>
        </w:div>
        <w:div w:id="1539662902">
          <w:marLeft w:val="288"/>
          <w:marRight w:val="0"/>
          <w:marTop w:val="0"/>
          <w:marBottom w:val="80"/>
          <w:divBdr>
            <w:top w:val="none" w:sz="0" w:space="0" w:color="auto"/>
            <w:left w:val="none" w:sz="0" w:space="0" w:color="auto"/>
            <w:bottom w:val="none" w:sz="0" w:space="0" w:color="auto"/>
            <w:right w:val="none" w:sz="0" w:space="0" w:color="auto"/>
          </w:divBdr>
        </w:div>
        <w:div w:id="1803845175">
          <w:marLeft w:val="288"/>
          <w:marRight w:val="0"/>
          <w:marTop w:val="0"/>
          <w:marBottom w:val="80"/>
          <w:divBdr>
            <w:top w:val="none" w:sz="0" w:space="0" w:color="auto"/>
            <w:left w:val="none" w:sz="0" w:space="0" w:color="auto"/>
            <w:bottom w:val="none" w:sz="0" w:space="0" w:color="auto"/>
            <w:right w:val="none" w:sz="0" w:space="0" w:color="auto"/>
          </w:divBdr>
        </w:div>
        <w:div w:id="1903442160">
          <w:marLeft w:val="288"/>
          <w:marRight w:val="0"/>
          <w:marTop w:val="0"/>
          <w:marBottom w:val="80"/>
          <w:divBdr>
            <w:top w:val="none" w:sz="0" w:space="0" w:color="auto"/>
            <w:left w:val="none" w:sz="0" w:space="0" w:color="auto"/>
            <w:bottom w:val="none" w:sz="0" w:space="0" w:color="auto"/>
            <w:right w:val="none" w:sz="0" w:space="0" w:color="auto"/>
          </w:divBdr>
        </w:div>
      </w:divsChild>
    </w:div>
    <w:div w:id="1867399856">
      <w:bodyDiv w:val="1"/>
      <w:marLeft w:val="0"/>
      <w:marRight w:val="0"/>
      <w:marTop w:val="0"/>
      <w:marBottom w:val="0"/>
      <w:divBdr>
        <w:top w:val="none" w:sz="0" w:space="0" w:color="auto"/>
        <w:left w:val="none" w:sz="0" w:space="0" w:color="auto"/>
        <w:bottom w:val="none" w:sz="0" w:space="0" w:color="auto"/>
        <w:right w:val="none" w:sz="0" w:space="0" w:color="auto"/>
      </w:divBdr>
    </w:div>
    <w:div w:id="1896502432">
      <w:bodyDiv w:val="1"/>
      <w:marLeft w:val="0"/>
      <w:marRight w:val="0"/>
      <w:marTop w:val="0"/>
      <w:marBottom w:val="0"/>
      <w:divBdr>
        <w:top w:val="none" w:sz="0" w:space="0" w:color="auto"/>
        <w:left w:val="none" w:sz="0" w:space="0" w:color="auto"/>
        <w:bottom w:val="none" w:sz="0" w:space="0" w:color="auto"/>
        <w:right w:val="none" w:sz="0" w:space="0" w:color="auto"/>
      </w:divBdr>
      <w:divsChild>
        <w:div w:id="640427043">
          <w:marLeft w:val="288"/>
          <w:marRight w:val="0"/>
          <w:marTop w:val="0"/>
          <w:marBottom w:val="160"/>
          <w:divBdr>
            <w:top w:val="none" w:sz="0" w:space="0" w:color="auto"/>
            <w:left w:val="none" w:sz="0" w:space="0" w:color="auto"/>
            <w:bottom w:val="none" w:sz="0" w:space="0" w:color="auto"/>
            <w:right w:val="none" w:sz="0" w:space="0" w:color="auto"/>
          </w:divBdr>
        </w:div>
        <w:div w:id="800807764">
          <w:marLeft w:val="288"/>
          <w:marRight w:val="0"/>
          <w:marTop w:val="0"/>
          <w:marBottom w:val="160"/>
          <w:divBdr>
            <w:top w:val="none" w:sz="0" w:space="0" w:color="auto"/>
            <w:left w:val="none" w:sz="0" w:space="0" w:color="auto"/>
            <w:bottom w:val="none" w:sz="0" w:space="0" w:color="auto"/>
            <w:right w:val="none" w:sz="0" w:space="0" w:color="auto"/>
          </w:divBdr>
        </w:div>
        <w:div w:id="1276863536">
          <w:marLeft w:val="288"/>
          <w:marRight w:val="0"/>
          <w:marTop w:val="0"/>
          <w:marBottom w:val="160"/>
          <w:divBdr>
            <w:top w:val="none" w:sz="0" w:space="0" w:color="auto"/>
            <w:left w:val="none" w:sz="0" w:space="0" w:color="auto"/>
            <w:bottom w:val="none" w:sz="0" w:space="0" w:color="auto"/>
            <w:right w:val="none" w:sz="0" w:space="0" w:color="auto"/>
          </w:divBdr>
        </w:div>
      </w:divsChild>
    </w:div>
    <w:div w:id="2100561282">
      <w:bodyDiv w:val="1"/>
      <w:marLeft w:val="0"/>
      <w:marRight w:val="0"/>
      <w:marTop w:val="0"/>
      <w:marBottom w:val="0"/>
      <w:divBdr>
        <w:top w:val="none" w:sz="0" w:space="0" w:color="auto"/>
        <w:left w:val="none" w:sz="0" w:space="0" w:color="auto"/>
        <w:bottom w:val="none" w:sz="0" w:space="0" w:color="auto"/>
        <w:right w:val="none" w:sz="0" w:space="0" w:color="auto"/>
      </w:divBdr>
      <w:divsChild>
        <w:div w:id="77295764">
          <w:marLeft w:val="274"/>
          <w:marRight w:val="0"/>
          <w:marTop w:val="0"/>
          <w:marBottom w:val="120"/>
          <w:divBdr>
            <w:top w:val="none" w:sz="0" w:space="0" w:color="auto"/>
            <w:left w:val="none" w:sz="0" w:space="0" w:color="auto"/>
            <w:bottom w:val="none" w:sz="0" w:space="0" w:color="auto"/>
            <w:right w:val="none" w:sz="0" w:space="0" w:color="auto"/>
          </w:divBdr>
        </w:div>
      </w:divsChild>
    </w:div>
    <w:div w:id="2146504526">
      <w:bodyDiv w:val="1"/>
      <w:marLeft w:val="0"/>
      <w:marRight w:val="0"/>
      <w:marTop w:val="0"/>
      <w:marBottom w:val="0"/>
      <w:divBdr>
        <w:top w:val="none" w:sz="0" w:space="0" w:color="auto"/>
        <w:left w:val="none" w:sz="0" w:space="0" w:color="auto"/>
        <w:bottom w:val="none" w:sz="0" w:space="0" w:color="auto"/>
        <w:right w:val="none" w:sz="0" w:space="0" w:color="auto"/>
      </w:divBdr>
      <w:divsChild>
        <w:div w:id="435516315">
          <w:marLeft w:val="274"/>
          <w:marRight w:val="0"/>
          <w:marTop w:val="0"/>
          <w:marBottom w:val="120"/>
          <w:divBdr>
            <w:top w:val="none" w:sz="0" w:space="0" w:color="auto"/>
            <w:left w:val="none" w:sz="0" w:space="0" w:color="auto"/>
            <w:bottom w:val="none" w:sz="0" w:space="0" w:color="auto"/>
            <w:right w:val="none" w:sz="0" w:space="0" w:color="auto"/>
          </w:divBdr>
        </w:div>
        <w:div w:id="1118446429">
          <w:marLeft w:val="274"/>
          <w:marRight w:val="0"/>
          <w:marTop w:val="0"/>
          <w:marBottom w:val="120"/>
          <w:divBdr>
            <w:top w:val="none" w:sz="0" w:space="0" w:color="auto"/>
            <w:left w:val="none" w:sz="0" w:space="0" w:color="auto"/>
            <w:bottom w:val="none" w:sz="0" w:space="0" w:color="auto"/>
            <w:right w:val="none" w:sz="0" w:space="0" w:color="auto"/>
          </w:divBdr>
        </w:div>
        <w:div w:id="1820030885">
          <w:marLeft w:val="274"/>
          <w:marRight w:val="0"/>
          <w:marTop w:val="0"/>
          <w:marBottom w:val="120"/>
          <w:divBdr>
            <w:top w:val="none" w:sz="0" w:space="0" w:color="auto"/>
            <w:left w:val="none" w:sz="0" w:space="0" w:color="auto"/>
            <w:bottom w:val="none" w:sz="0" w:space="0" w:color="auto"/>
            <w:right w:val="none" w:sz="0" w:space="0" w:color="auto"/>
          </w:divBdr>
        </w:div>
        <w:div w:id="196387571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DACBE-3C1E-4F79-BE81-24F7C7C8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Horsfield</dc:creator>
  <cp:lastModifiedBy>Robert Dowey</cp:lastModifiedBy>
  <cp:revision>10</cp:revision>
  <cp:lastPrinted>2016-02-08T14:51:00Z</cp:lastPrinted>
  <dcterms:created xsi:type="dcterms:W3CDTF">2016-02-08T15:06:00Z</dcterms:created>
  <dcterms:modified xsi:type="dcterms:W3CDTF">2016-02-09T16:14:00Z</dcterms:modified>
</cp:coreProperties>
</file>